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84" w:rsidRDefault="00A81EF6">
      <w:pPr>
        <w:pStyle w:val="a3"/>
        <w:ind w:left="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4C1EDF2" wp14:editId="7ED244D6">
            <wp:extent cx="2077290" cy="379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290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84" w:rsidRDefault="00014684">
      <w:pPr>
        <w:pStyle w:val="a3"/>
        <w:rPr>
          <w:rFonts w:ascii="Times New Roman"/>
          <w:sz w:val="20"/>
        </w:rPr>
      </w:pPr>
    </w:p>
    <w:p w:rsidR="00014684" w:rsidRDefault="00014684">
      <w:pPr>
        <w:pStyle w:val="a3"/>
        <w:spacing w:before="6"/>
        <w:rPr>
          <w:rFonts w:ascii="Times New Roman"/>
          <w:sz w:val="18"/>
        </w:rPr>
      </w:pPr>
    </w:p>
    <w:p w:rsidR="00014684" w:rsidRDefault="00A81EF6">
      <w:pPr>
        <w:spacing w:before="64"/>
        <w:ind w:left="429" w:right="318"/>
        <w:jc w:val="center"/>
        <w:rPr>
          <w:b/>
          <w:sz w:val="18"/>
        </w:rPr>
      </w:pPr>
      <w:r>
        <w:rPr>
          <w:b/>
          <w:sz w:val="18"/>
        </w:rPr>
        <w:t>НЕ ДЛЯ РАСПРОСТРАНЕНИЯ, ПУБЛИКАЦИИ ИЛИ РАССЫЛКИ, ПРЯМОЙ ИЛИ КОСВЕННОЙ, ПОЛНОЙ ИЛИ ЧАСТИЧНОЙ, НА ТЕРРИТОРИИ США, АВСТРАЛИИ, КАНАДЫ, ЯПОНИИ ИЛИ В ЛЮБОЙ ДРУГОЙ ЮРИСДИКЦИИ,</w:t>
      </w:r>
    </w:p>
    <w:p w:rsidR="00014684" w:rsidRDefault="00A81EF6">
      <w:pPr>
        <w:spacing w:line="219" w:lineRule="exact"/>
        <w:ind w:left="421" w:right="318"/>
        <w:jc w:val="center"/>
        <w:rPr>
          <w:b/>
          <w:sz w:val="18"/>
        </w:rPr>
      </w:pPr>
      <w:r>
        <w:rPr>
          <w:b/>
          <w:sz w:val="18"/>
        </w:rPr>
        <w:t>ГДЕ РАСПРОСТРАНЕНИЕ НАСТОЯЩЕГО ОЪЯВЛЕНИЯ ЯВЛЯЕТСЯ НЕЗАКОННЫМ</w:t>
      </w:r>
    </w:p>
    <w:p w:rsidR="00014684" w:rsidRDefault="00014684">
      <w:pPr>
        <w:pStyle w:val="a3"/>
        <w:rPr>
          <w:b/>
          <w:sz w:val="20"/>
        </w:rPr>
      </w:pPr>
    </w:p>
    <w:p w:rsidR="00014684" w:rsidRDefault="00014684">
      <w:pPr>
        <w:pStyle w:val="a3"/>
        <w:spacing w:before="12"/>
        <w:rPr>
          <w:b/>
          <w:sz w:val="24"/>
        </w:rPr>
      </w:pPr>
    </w:p>
    <w:tbl>
      <w:tblPr>
        <w:tblStyle w:val="TableNormal1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567"/>
        <w:gridCol w:w="3965"/>
      </w:tblGrid>
      <w:tr w:rsidR="00014684">
        <w:trPr>
          <w:trHeight w:val="220"/>
        </w:trPr>
        <w:tc>
          <w:tcPr>
            <w:tcW w:w="5567" w:type="dxa"/>
          </w:tcPr>
          <w:p w:rsidR="00014684" w:rsidRDefault="00A81EF6">
            <w:pPr>
              <w:pStyle w:val="TableParagraph"/>
              <w:spacing w:line="201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Для немедленного распространения</w:t>
            </w:r>
          </w:p>
        </w:tc>
        <w:tc>
          <w:tcPr>
            <w:tcW w:w="3965" w:type="dxa"/>
          </w:tcPr>
          <w:p w:rsidR="00014684" w:rsidRDefault="00567D54" w:rsidP="00567D54">
            <w:pPr>
              <w:pStyle w:val="TableParagraph"/>
              <w:spacing w:line="201" w:lineRule="exact"/>
              <w:ind w:left="1829"/>
              <w:jc w:val="left"/>
              <w:rPr>
                <w:b/>
              </w:rPr>
            </w:pPr>
            <w:r>
              <w:rPr>
                <w:b/>
              </w:rPr>
              <w:t>29</w:t>
            </w:r>
            <w:r w:rsidR="00A81EF6" w:rsidRPr="00C4546F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2A6D4E" w:rsidRPr="00C4546F">
              <w:rPr>
                <w:b/>
              </w:rPr>
              <w:t xml:space="preserve"> </w:t>
            </w:r>
            <w:r w:rsidR="00A81EF6" w:rsidRPr="00C4546F">
              <w:rPr>
                <w:b/>
              </w:rPr>
              <w:t>20</w:t>
            </w:r>
            <w:r w:rsidR="005F7FA1" w:rsidRPr="00C4546F">
              <w:rPr>
                <w:b/>
              </w:rPr>
              <w:t>2</w:t>
            </w:r>
            <w:r w:rsidR="00AB3B28">
              <w:rPr>
                <w:b/>
              </w:rPr>
              <w:t>2</w:t>
            </w:r>
            <w:r w:rsidR="00A81EF6" w:rsidRPr="00C4546F">
              <w:rPr>
                <w:b/>
              </w:rPr>
              <w:t xml:space="preserve"> года</w:t>
            </w:r>
          </w:p>
        </w:tc>
      </w:tr>
    </w:tbl>
    <w:p w:rsidR="00014684" w:rsidRDefault="00014684">
      <w:pPr>
        <w:pStyle w:val="a3"/>
        <w:rPr>
          <w:b/>
          <w:sz w:val="20"/>
        </w:rPr>
      </w:pPr>
    </w:p>
    <w:p w:rsidR="00014684" w:rsidRDefault="00014684">
      <w:pPr>
        <w:pStyle w:val="a3"/>
        <w:spacing w:before="5"/>
        <w:rPr>
          <w:b/>
          <w:sz w:val="17"/>
        </w:rPr>
      </w:pPr>
    </w:p>
    <w:p w:rsidR="00014684" w:rsidRDefault="00A81EF6" w:rsidP="00E47533">
      <w:pPr>
        <w:pStyle w:val="1"/>
        <w:spacing w:before="56"/>
        <w:ind w:left="1734"/>
        <w:jc w:val="both"/>
      </w:pPr>
      <w:r>
        <w:t>GLOBALTRUCK ОБЪЯВЛ</w:t>
      </w:r>
      <w:r w:rsidR="00C85D38">
        <w:t xml:space="preserve">ЯЕТ ФИНАНСОВЫЕ РЕЗУЛЬТАТЫ ЗА </w:t>
      </w:r>
      <w:r w:rsidR="003457F6" w:rsidRPr="003457F6">
        <w:t xml:space="preserve">6 </w:t>
      </w:r>
      <w:r w:rsidR="0016191C">
        <w:t>месяцев</w:t>
      </w:r>
      <w:r w:rsidR="00173D44">
        <w:t xml:space="preserve"> </w:t>
      </w:r>
      <w:r w:rsidR="00C85D38">
        <w:t>202</w:t>
      </w:r>
      <w:r w:rsidR="002249C9">
        <w:t>2</w:t>
      </w:r>
      <w:r w:rsidR="001D1410">
        <w:t xml:space="preserve"> ГОДА.</w:t>
      </w:r>
    </w:p>
    <w:p w:rsidR="00014684" w:rsidRPr="000F75ED" w:rsidRDefault="00A81EF6" w:rsidP="00CE2E21">
      <w:pPr>
        <w:pStyle w:val="a3"/>
        <w:spacing w:before="120"/>
        <w:ind w:left="302" w:right="180"/>
        <w:jc w:val="both"/>
      </w:pPr>
      <w:r w:rsidRPr="000F75ED">
        <w:t>П</w:t>
      </w:r>
      <w:r w:rsidR="00CE2E21">
        <w:t xml:space="preserve">убличное акционерное </w:t>
      </w:r>
      <w:r w:rsidR="003351CB">
        <w:t xml:space="preserve">общество </w:t>
      </w:r>
      <w:r w:rsidR="003351CB" w:rsidRPr="000F75ED">
        <w:t>«</w:t>
      </w:r>
      <w:r w:rsidRPr="000F75ED">
        <w:t>ГЛОБАЛТРАК МЕНЕДЖМЕНТ» (MOEX: GTRK,</w:t>
      </w:r>
      <w:r w:rsidR="00BE7120" w:rsidRPr="000F75ED">
        <w:t xml:space="preserve"> </w:t>
      </w:r>
      <w:r w:rsidRPr="000F75ED">
        <w:t>далее Globaltruck</w:t>
      </w:r>
      <w:r w:rsidR="000F75ED" w:rsidRPr="000F75ED">
        <w:t>, Глобалтрак</w:t>
      </w:r>
      <w:r w:rsidRPr="000F75ED">
        <w:t xml:space="preserve"> или Группа), один из крупнейших автомобильных грузовых FTL-перевозчиков России, объявляет консолидирован</w:t>
      </w:r>
      <w:r w:rsidR="002E362D" w:rsidRPr="000F75ED">
        <w:t xml:space="preserve">ные финансовые результаты за </w:t>
      </w:r>
      <w:r w:rsidR="00567D54">
        <w:t>1-</w:t>
      </w:r>
      <w:r w:rsidR="0016191C">
        <w:t xml:space="preserve">е </w:t>
      </w:r>
      <w:r w:rsidR="00567D54">
        <w:t>полугодие 2022</w:t>
      </w:r>
      <w:r w:rsidRPr="000F75ED">
        <w:t xml:space="preserve"> год</w:t>
      </w:r>
      <w:r w:rsidR="00FE496E" w:rsidRPr="000F75ED">
        <w:t>а</w:t>
      </w:r>
      <w:r w:rsidRPr="000F75ED">
        <w:t xml:space="preserve"> по международным стандартам финансовой отчетности (МСФО).</w:t>
      </w:r>
    </w:p>
    <w:p w:rsidR="00014684" w:rsidRPr="008D57B9" w:rsidRDefault="00A81EF6" w:rsidP="00B26076">
      <w:pPr>
        <w:pStyle w:val="a4"/>
        <w:numPr>
          <w:ilvl w:val="0"/>
          <w:numId w:val="1"/>
        </w:numPr>
        <w:tabs>
          <w:tab w:val="left" w:pos="661"/>
          <w:tab w:val="left" w:pos="662"/>
        </w:tabs>
        <w:spacing w:before="124" w:line="237" w:lineRule="auto"/>
        <w:ind w:left="661" w:right="183"/>
        <w:jc w:val="both"/>
      </w:pPr>
      <w:r>
        <w:t xml:space="preserve">Выручка </w:t>
      </w:r>
      <w:r w:rsidR="00C85D38">
        <w:t xml:space="preserve">за </w:t>
      </w:r>
      <w:r w:rsidR="00567D54">
        <w:t>6</w:t>
      </w:r>
      <w:r w:rsidR="00C85D38">
        <w:t xml:space="preserve"> месяцев</w:t>
      </w:r>
      <w:r w:rsidR="002E362D">
        <w:t xml:space="preserve"> 202</w:t>
      </w:r>
      <w:r w:rsidR="00567D54">
        <w:t>2 года</w:t>
      </w:r>
      <w:r>
        <w:t xml:space="preserve"> увеличилась на</w:t>
      </w:r>
      <w:r w:rsidR="00126792" w:rsidRPr="00126792">
        <w:t xml:space="preserve"> </w:t>
      </w:r>
      <w:r w:rsidR="00567D54">
        <w:t>9</w:t>
      </w:r>
      <w:r w:rsidR="00126792">
        <w:t>,</w:t>
      </w:r>
      <w:r w:rsidR="00126792" w:rsidRPr="00126792">
        <w:t>9</w:t>
      </w:r>
      <w:r w:rsidR="00567D54">
        <w:t>%, до 6</w:t>
      </w:r>
      <w:r w:rsidR="00E47533">
        <w:t>,</w:t>
      </w:r>
      <w:r w:rsidR="00567D54">
        <w:t>1</w:t>
      </w:r>
      <w:r w:rsidR="00E47533">
        <w:t>4</w:t>
      </w:r>
      <w:r>
        <w:t xml:space="preserve"> млрд руб.,</w:t>
      </w:r>
      <w:r w:rsidR="00567D54">
        <w:t xml:space="preserve"> </w:t>
      </w:r>
      <w:r w:rsidR="0013121C">
        <w:t>преимущественно</w:t>
      </w:r>
      <w:r>
        <w:t xml:space="preserve"> </w:t>
      </w:r>
      <w:r w:rsidRPr="008D57B9">
        <w:t xml:space="preserve">благодаря </w:t>
      </w:r>
      <w:r w:rsidR="002E362D" w:rsidRPr="008D57B9">
        <w:t>росту выручки от экспедиторских услуг;</w:t>
      </w:r>
    </w:p>
    <w:p w:rsidR="00014684" w:rsidRDefault="003457F6" w:rsidP="00B26076">
      <w:pPr>
        <w:pStyle w:val="a4"/>
        <w:numPr>
          <w:ilvl w:val="0"/>
          <w:numId w:val="1"/>
        </w:numPr>
        <w:tabs>
          <w:tab w:val="left" w:pos="661"/>
          <w:tab w:val="left" w:pos="662"/>
        </w:tabs>
        <w:spacing w:before="122"/>
        <w:ind w:left="661"/>
        <w:jc w:val="both"/>
      </w:pPr>
      <w:r>
        <w:t xml:space="preserve">Показатель </w:t>
      </w:r>
      <w:r w:rsidR="00720AE1">
        <w:t>скорректированная</w:t>
      </w:r>
      <w:r w:rsidR="00A81EF6" w:rsidRPr="00841C23">
        <w:t xml:space="preserve"> EBITDA</w:t>
      </w:r>
      <w:r w:rsidR="00AA45BD" w:rsidRPr="00AA45BD">
        <w:rPr>
          <w:sz w:val="24"/>
          <w:vertAlign w:val="superscript"/>
        </w:rPr>
        <w:t>*</w:t>
      </w:r>
      <w:r w:rsidR="00A81EF6" w:rsidRPr="00841C23">
        <w:t xml:space="preserve"> по итогам</w:t>
      </w:r>
      <w:r w:rsidR="00DC5CDC" w:rsidRPr="00DC5CDC">
        <w:t xml:space="preserve"> </w:t>
      </w:r>
      <w:r w:rsidR="00567D54">
        <w:t>1-</w:t>
      </w:r>
      <w:r w:rsidR="0016191C">
        <w:t xml:space="preserve">го </w:t>
      </w:r>
      <w:r w:rsidR="00567D54">
        <w:t>полугодия</w:t>
      </w:r>
      <w:r w:rsidR="00AA45BD">
        <w:t xml:space="preserve"> </w:t>
      </w:r>
      <w:r w:rsidR="00FE496E">
        <w:t>вырос</w:t>
      </w:r>
      <w:r w:rsidR="00841C23" w:rsidRPr="00841C23">
        <w:t xml:space="preserve"> </w:t>
      </w:r>
      <w:r w:rsidR="00D40E2C">
        <w:t xml:space="preserve">на </w:t>
      </w:r>
      <w:r w:rsidR="00567D54">
        <w:t>39,6</w:t>
      </w:r>
      <w:r w:rsidR="00A81EF6" w:rsidRPr="00841C23">
        <w:t>%</w:t>
      </w:r>
      <w:r w:rsidR="00DE5720">
        <w:t xml:space="preserve"> и составил</w:t>
      </w:r>
      <w:r>
        <w:t xml:space="preserve"> </w:t>
      </w:r>
      <w:r w:rsidR="00AA45BD">
        <w:t>354</w:t>
      </w:r>
      <w:r w:rsidR="00567D54">
        <w:t>,2</w:t>
      </w:r>
      <w:r w:rsidR="00FE496E">
        <w:t xml:space="preserve"> </w:t>
      </w:r>
      <w:r w:rsidR="00A81EF6" w:rsidRPr="00841C23">
        <w:t>млн руб.</w:t>
      </w:r>
      <w:r w:rsidR="00EE3B46">
        <w:t>;</w:t>
      </w:r>
      <w:r w:rsidR="00AB3B28">
        <w:t xml:space="preserve"> </w:t>
      </w:r>
    </w:p>
    <w:p w:rsidR="00B26076" w:rsidRPr="00841C23" w:rsidRDefault="00B26076" w:rsidP="00B26076">
      <w:pPr>
        <w:pStyle w:val="a4"/>
        <w:numPr>
          <w:ilvl w:val="0"/>
          <w:numId w:val="1"/>
        </w:numPr>
        <w:tabs>
          <w:tab w:val="left" w:pos="661"/>
          <w:tab w:val="left" w:pos="662"/>
        </w:tabs>
        <w:ind w:left="661" w:right="186"/>
        <w:jc w:val="both"/>
      </w:pPr>
      <w:r>
        <w:t xml:space="preserve">Чистая прибыль за период составила </w:t>
      </w:r>
      <w:r w:rsidR="00567D54">
        <w:t>17,9</w:t>
      </w:r>
      <w:r>
        <w:t xml:space="preserve"> млн</w:t>
      </w:r>
      <w:r w:rsidRPr="00C4546F">
        <w:t xml:space="preserve"> </w:t>
      </w:r>
      <w:r>
        <w:t>руб.</w:t>
      </w:r>
    </w:p>
    <w:p w:rsidR="00217CDB" w:rsidRDefault="00217CDB" w:rsidP="00E47533">
      <w:pPr>
        <w:pStyle w:val="a4"/>
        <w:tabs>
          <w:tab w:val="left" w:pos="661"/>
          <w:tab w:val="left" w:pos="662"/>
        </w:tabs>
        <w:ind w:right="186" w:firstLine="0"/>
        <w:jc w:val="both"/>
      </w:pPr>
    </w:p>
    <w:p w:rsidR="00AB3B28" w:rsidRPr="001D1410" w:rsidRDefault="008D57B9" w:rsidP="00E47533">
      <w:pPr>
        <w:pStyle w:val="1"/>
        <w:spacing w:before="120"/>
        <w:jc w:val="both"/>
        <w:rPr>
          <w:i/>
        </w:rPr>
      </w:pPr>
      <w:r w:rsidRPr="001D1410">
        <w:rPr>
          <w:i/>
        </w:rPr>
        <w:t>Илья Саттаров, генеральн</w:t>
      </w:r>
      <w:r w:rsidR="003457F6" w:rsidRPr="001D1410">
        <w:rPr>
          <w:i/>
        </w:rPr>
        <w:t>ый директор Globaltruck</w:t>
      </w:r>
      <w:r w:rsidRPr="001D1410">
        <w:rPr>
          <w:i/>
        </w:rPr>
        <w:t>:</w:t>
      </w:r>
    </w:p>
    <w:p w:rsidR="0016191C" w:rsidRDefault="003457F6" w:rsidP="00E47533">
      <w:pPr>
        <w:pStyle w:val="1"/>
        <w:spacing w:before="120"/>
        <w:jc w:val="both"/>
        <w:rPr>
          <w:b w:val="0"/>
          <w:i/>
        </w:rPr>
      </w:pPr>
      <w:r w:rsidRPr="001D1410">
        <w:rPr>
          <w:b w:val="0"/>
          <w:i/>
        </w:rPr>
        <w:t>По оценкам менеджмента, на фоне изменений макроэкономических факторов и давления на рынок автомобильных грузоперевозок компания показала достойные результаты. Начиная с конца первого квартала</w:t>
      </w:r>
      <w:r w:rsidR="0060508D">
        <w:rPr>
          <w:b w:val="0"/>
          <w:i/>
        </w:rPr>
        <w:t>,</w:t>
      </w:r>
      <w:r w:rsidRPr="001D1410">
        <w:rPr>
          <w:b w:val="0"/>
          <w:i/>
        </w:rPr>
        <w:t xml:space="preserve"> из-за пересмотра логистических цепочек Группа компаний, как и другие участники рынка, была вынуждена перераспределить собственный автопарк в сторону более востребованных на рынках услуг. </w:t>
      </w:r>
    </w:p>
    <w:p w:rsidR="0016191C" w:rsidRDefault="003457F6" w:rsidP="00E47533">
      <w:pPr>
        <w:pStyle w:val="1"/>
        <w:spacing w:before="120"/>
        <w:jc w:val="both"/>
        <w:rPr>
          <w:b w:val="0"/>
          <w:i/>
        </w:rPr>
      </w:pPr>
      <w:r w:rsidRPr="001D1410">
        <w:rPr>
          <w:b w:val="0"/>
          <w:i/>
        </w:rPr>
        <w:t xml:space="preserve">Давление на компанию </w:t>
      </w:r>
      <w:r w:rsidR="001D1410">
        <w:rPr>
          <w:b w:val="0"/>
          <w:i/>
        </w:rPr>
        <w:t xml:space="preserve">в отчётном периоде </w:t>
      </w:r>
      <w:r w:rsidRPr="001D1410">
        <w:rPr>
          <w:b w:val="0"/>
          <w:i/>
        </w:rPr>
        <w:t>оказывали ряд факторов</w:t>
      </w:r>
      <w:r w:rsidR="00833BEB" w:rsidRPr="001D1410">
        <w:rPr>
          <w:b w:val="0"/>
          <w:i/>
        </w:rPr>
        <w:t>, в том</w:t>
      </w:r>
      <w:r w:rsidRPr="001D1410">
        <w:rPr>
          <w:b w:val="0"/>
          <w:i/>
        </w:rPr>
        <w:t xml:space="preserve"> </w:t>
      </w:r>
      <w:r w:rsidR="00833BEB" w:rsidRPr="001D1410">
        <w:rPr>
          <w:b w:val="0"/>
          <w:i/>
        </w:rPr>
        <w:t xml:space="preserve">числе </w:t>
      </w:r>
      <w:r w:rsidRPr="001D1410">
        <w:rPr>
          <w:b w:val="0"/>
          <w:i/>
        </w:rPr>
        <w:t xml:space="preserve">спекулятивный рост стоимости на запасные части, масла и шины. </w:t>
      </w:r>
      <w:r w:rsidR="001D1410">
        <w:rPr>
          <w:b w:val="0"/>
          <w:i/>
        </w:rPr>
        <w:t>Для поддержания непрерывной работы м</w:t>
      </w:r>
      <w:r w:rsidR="00C136CE" w:rsidRPr="001D1410">
        <w:rPr>
          <w:b w:val="0"/>
          <w:i/>
        </w:rPr>
        <w:t xml:space="preserve">ы </w:t>
      </w:r>
      <w:r w:rsidR="00314B98">
        <w:rPr>
          <w:b w:val="0"/>
          <w:i/>
        </w:rPr>
        <w:t>закупали</w:t>
      </w:r>
      <w:r w:rsidR="00C136CE" w:rsidRPr="001D1410">
        <w:rPr>
          <w:b w:val="0"/>
          <w:i/>
        </w:rPr>
        <w:t xml:space="preserve"> эти позиции </w:t>
      </w:r>
      <w:r w:rsidR="00833BEB" w:rsidRPr="001D1410">
        <w:rPr>
          <w:b w:val="0"/>
          <w:i/>
        </w:rPr>
        <w:t>с</w:t>
      </w:r>
      <w:r w:rsidR="00486D08">
        <w:rPr>
          <w:b w:val="0"/>
          <w:i/>
        </w:rPr>
        <w:t xml:space="preserve"> частичным</w:t>
      </w:r>
      <w:r w:rsidR="00833BEB" w:rsidRPr="001D1410">
        <w:rPr>
          <w:b w:val="0"/>
          <w:i/>
        </w:rPr>
        <w:t xml:space="preserve"> запасом </w:t>
      </w:r>
      <w:r w:rsidR="00314B98">
        <w:rPr>
          <w:b w:val="0"/>
          <w:i/>
        </w:rPr>
        <w:t>на длительный срок</w:t>
      </w:r>
      <w:r w:rsidR="00C136CE" w:rsidRPr="001D1410">
        <w:rPr>
          <w:b w:val="0"/>
          <w:i/>
        </w:rPr>
        <w:t xml:space="preserve"> по завышенным ценам. Несколько месяцев </w:t>
      </w:r>
      <w:r w:rsidR="001D1410">
        <w:rPr>
          <w:b w:val="0"/>
          <w:i/>
        </w:rPr>
        <w:t>потребовалось для поиска</w:t>
      </w:r>
      <w:r w:rsidR="00833BEB" w:rsidRPr="001D1410">
        <w:rPr>
          <w:b w:val="0"/>
          <w:i/>
        </w:rPr>
        <w:t xml:space="preserve"> новых</w:t>
      </w:r>
      <w:r w:rsidR="001D1410">
        <w:rPr>
          <w:b w:val="0"/>
          <w:i/>
        </w:rPr>
        <w:t xml:space="preserve"> надежных</w:t>
      </w:r>
      <w:r w:rsidR="00833BEB" w:rsidRPr="001D1410">
        <w:rPr>
          <w:b w:val="0"/>
          <w:i/>
        </w:rPr>
        <w:t xml:space="preserve"> поставщиков</w:t>
      </w:r>
      <w:r w:rsidR="0060508D">
        <w:rPr>
          <w:b w:val="0"/>
          <w:i/>
        </w:rPr>
        <w:t xml:space="preserve"> и заключения</w:t>
      </w:r>
      <w:r w:rsidR="001D1410">
        <w:rPr>
          <w:b w:val="0"/>
          <w:i/>
        </w:rPr>
        <w:t xml:space="preserve"> долгосрочных контрактов. В итоге к</w:t>
      </w:r>
      <w:r w:rsidR="00C136CE" w:rsidRPr="001D1410">
        <w:rPr>
          <w:b w:val="0"/>
          <w:i/>
        </w:rPr>
        <w:t xml:space="preserve"> концу первого полугодия все потребности</w:t>
      </w:r>
      <w:r w:rsidR="00833BEB" w:rsidRPr="001D1410">
        <w:rPr>
          <w:b w:val="0"/>
          <w:i/>
        </w:rPr>
        <w:t xml:space="preserve"> по поддержанию </w:t>
      </w:r>
      <w:r w:rsidR="001D1410" w:rsidRPr="001D1410">
        <w:rPr>
          <w:b w:val="0"/>
          <w:i/>
        </w:rPr>
        <w:t>парка Группы</w:t>
      </w:r>
      <w:r w:rsidR="00C136CE" w:rsidRPr="001D1410">
        <w:rPr>
          <w:b w:val="0"/>
          <w:i/>
        </w:rPr>
        <w:t xml:space="preserve"> </w:t>
      </w:r>
      <w:r w:rsidR="00833BEB" w:rsidRPr="001D1410">
        <w:rPr>
          <w:b w:val="0"/>
          <w:i/>
        </w:rPr>
        <w:t xml:space="preserve">в рабочем состоянии </w:t>
      </w:r>
      <w:r w:rsidR="00C136CE" w:rsidRPr="001D1410">
        <w:rPr>
          <w:b w:val="0"/>
          <w:i/>
        </w:rPr>
        <w:t xml:space="preserve">закрыты. </w:t>
      </w:r>
    </w:p>
    <w:p w:rsidR="0016191C" w:rsidRDefault="001D1410" w:rsidP="00E47533">
      <w:pPr>
        <w:pStyle w:val="1"/>
        <w:spacing w:before="120"/>
        <w:jc w:val="both"/>
        <w:rPr>
          <w:b w:val="0"/>
          <w:i/>
        </w:rPr>
      </w:pPr>
      <w:r>
        <w:rPr>
          <w:b w:val="0"/>
          <w:i/>
        </w:rPr>
        <w:t>В первом квартале года изменилась ситуация в сегменте международной перевозки</w:t>
      </w:r>
      <w:r w:rsidR="00C136CE" w:rsidRPr="001D1410">
        <w:rPr>
          <w:b w:val="0"/>
          <w:i/>
        </w:rPr>
        <w:t xml:space="preserve"> – нам </w:t>
      </w:r>
      <w:r>
        <w:rPr>
          <w:b w:val="0"/>
          <w:i/>
        </w:rPr>
        <w:t xml:space="preserve">пришлось оперативно перераспределять </w:t>
      </w:r>
      <w:r w:rsidR="00C136CE" w:rsidRPr="001D1410">
        <w:rPr>
          <w:b w:val="0"/>
          <w:i/>
        </w:rPr>
        <w:t xml:space="preserve">маршруты в сторону восточных направлений. Сейчас машины Глобалтрак уверенно осуществляют доставку в </w:t>
      </w:r>
      <w:r w:rsidR="0060508D">
        <w:rPr>
          <w:b w:val="0"/>
          <w:i/>
        </w:rPr>
        <w:t>Армению, Грузию, Азербайджан, Турцию, Китай</w:t>
      </w:r>
      <w:r w:rsidR="00C136CE" w:rsidRPr="001D1410">
        <w:rPr>
          <w:b w:val="0"/>
          <w:i/>
        </w:rPr>
        <w:t>,</w:t>
      </w:r>
      <w:r w:rsidR="0060508D">
        <w:rPr>
          <w:b w:val="0"/>
          <w:i/>
        </w:rPr>
        <w:t xml:space="preserve"> Казахстан</w:t>
      </w:r>
      <w:r w:rsidR="00314B98">
        <w:rPr>
          <w:b w:val="0"/>
          <w:i/>
        </w:rPr>
        <w:t>.</w:t>
      </w:r>
    </w:p>
    <w:p w:rsidR="00D51056" w:rsidRPr="001D1410" w:rsidRDefault="0016191C" w:rsidP="00E47533">
      <w:pPr>
        <w:pStyle w:val="1"/>
        <w:spacing w:before="120"/>
        <w:jc w:val="both"/>
        <w:rPr>
          <w:b w:val="0"/>
          <w:i/>
        </w:rPr>
      </w:pPr>
      <w:r>
        <w:rPr>
          <w:b w:val="0"/>
          <w:i/>
        </w:rPr>
        <w:t xml:space="preserve">В течение полугодия </w:t>
      </w:r>
      <w:r w:rsidR="00D51056" w:rsidRPr="001D1410">
        <w:rPr>
          <w:b w:val="0"/>
          <w:i/>
        </w:rPr>
        <w:t>Группа компани</w:t>
      </w:r>
      <w:r w:rsidR="001D1410">
        <w:rPr>
          <w:b w:val="0"/>
          <w:i/>
        </w:rPr>
        <w:t xml:space="preserve">й ещё больше </w:t>
      </w:r>
      <w:r w:rsidR="00D51056" w:rsidRPr="001D1410">
        <w:rPr>
          <w:b w:val="0"/>
          <w:i/>
        </w:rPr>
        <w:t>усилила фокус на оптимизацию затрат и повышение операционной эффективности.</w:t>
      </w:r>
    </w:p>
    <w:p w:rsidR="00D51056" w:rsidRPr="001D1410" w:rsidRDefault="00D51056" w:rsidP="00E47533">
      <w:pPr>
        <w:pStyle w:val="1"/>
        <w:spacing w:before="120"/>
        <w:jc w:val="both"/>
        <w:rPr>
          <w:b w:val="0"/>
          <w:i/>
        </w:rPr>
      </w:pPr>
      <w:r w:rsidRPr="001D1410">
        <w:rPr>
          <w:b w:val="0"/>
          <w:i/>
        </w:rPr>
        <w:t>Глобалтрак входит в перечень системообразующих предприятий</w:t>
      </w:r>
      <w:r w:rsidR="0016191C">
        <w:rPr>
          <w:b w:val="0"/>
          <w:i/>
        </w:rPr>
        <w:t xml:space="preserve"> РФ</w:t>
      </w:r>
      <w:r w:rsidRPr="001D1410">
        <w:rPr>
          <w:b w:val="0"/>
          <w:i/>
        </w:rPr>
        <w:t>, поэтому а</w:t>
      </w:r>
      <w:r w:rsidR="00327230">
        <w:rPr>
          <w:b w:val="0"/>
          <w:i/>
        </w:rPr>
        <w:t xml:space="preserve">кцент в нашей работе был </w:t>
      </w:r>
      <w:r w:rsidR="0016191C">
        <w:rPr>
          <w:b w:val="0"/>
          <w:i/>
        </w:rPr>
        <w:t xml:space="preserve">особо </w:t>
      </w:r>
      <w:r w:rsidR="00327230">
        <w:rPr>
          <w:b w:val="0"/>
          <w:i/>
        </w:rPr>
        <w:t xml:space="preserve">сделан </w:t>
      </w:r>
      <w:r w:rsidRPr="001D1410">
        <w:rPr>
          <w:b w:val="0"/>
          <w:i/>
        </w:rPr>
        <w:t>на социальную миссию. Своевременна</w:t>
      </w:r>
      <w:r w:rsidR="00327230">
        <w:rPr>
          <w:b w:val="0"/>
          <w:i/>
        </w:rPr>
        <w:t>я</w:t>
      </w:r>
      <w:r w:rsidRPr="001D1410">
        <w:rPr>
          <w:b w:val="0"/>
          <w:i/>
        </w:rPr>
        <w:t xml:space="preserve"> доставка товаров первой необходимости, сохранение рабочих мест для водительского состава, поддержание высокого уровня обслуживания парка для безопасных </w:t>
      </w:r>
      <w:r w:rsidR="0016191C">
        <w:rPr>
          <w:b w:val="0"/>
          <w:i/>
        </w:rPr>
        <w:t xml:space="preserve">и безаварийных </w:t>
      </w:r>
      <w:r w:rsidRPr="001D1410">
        <w:rPr>
          <w:b w:val="0"/>
          <w:i/>
        </w:rPr>
        <w:t>поездок –</w:t>
      </w:r>
      <w:r w:rsidR="00833BEB" w:rsidRPr="001D1410">
        <w:rPr>
          <w:b w:val="0"/>
          <w:i/>
        </w:rPr>
        <w:t xml:space="preserve"> над этими целями трудилась вся команда группы. В конце прошлого месяца мы до</w:t>
      </w:r>
      <w:r w:rsidR="00486D08">
        <w:rPr>
          <w:b w:val="0"/>
          <w:i/>
        </w:rPr>
        <w:t>срочно запустили работу цифрового экспедитора на базе платформы</w:t>
      </w:r>
      <w:r w:rsidR="00833BEB" w:rsidRPr="001D1410">
        <w:rPr>
          <w:b w:val="0"/>
          <w:i/>
        </w:rPr>
        <w:t xml:space="preserve"> </w:t>
      </w:r>
      <w:r w:rsidR="00486D08">
        <w:rPr>
          <w:b w:val="0"/>
          <w:i/>
        </w:rPr>
        <w:t>«</w:t>
      </w:r>
      <w:r w:rsidR="00833BEB" w:rsidRPr="001D1410">
        <w:rPr>
          <w:b w:val="0"/>
          <w:i/>
          <w:lang w:val="en-US"/>
        </w:rPr>
        <w:t>GT</w:t>
      </w:r>
      <w:r w:rsidR="00833BEB" w:rsidRPr="001D1410">
        <w:rPr>
          <w:b w:val="0"/>
          <w:i/>
        </w:rPr>
        <w:t>-2</w:t>
      </w:r>
      <w:r w:rsidR="00486D08">
        <w:rPr>
          <w:b w:val="0"/>
          <w:i/>
        </w:rPr>
        <w:t>»</w:t>
      </w:r>
      <w:r w:rsidR="001D1410">
        <w:rPr>
          <w:b w:val="0"/>
          <w:i/>
        </w:rPr>
        <w:t xml:space="preserve"> которая, как мы ожидаем, </w:t>
      </w:r>
      <w:r w:rsidR="00833BEB" w:rsidRPr="001D1410">
        <w:rPr>
          <w:b w:val="0"/>
          <w:i/>
        </w:rPr>
        <w:t xml:space="preserve">поддержит бизнес </w:t>
      </w:r>
      <w:r w:rsidR="00486D08">
        <w:rPr>
          <w:b w:val="0"/>
          <w:i/>
        </w:rPr>
        <w:t xml:space="preserve">индивидуальных предпринимателей </w:t>
      </w:r>
      <w:r w:rsidR="001D1410">
        <w:rPr>
          <w:b w:val="0"/>
          <w:i/>
        </w:rPr>
        <w:t>и представителей малого и</w:t>
      </w:r>
      <w:r w:rsidR="00833BEB" w:rsidRPr="001D1410">
        <w:rPr>
          <w:b w:val="0"/>
          <w:i/>
        </w:rPr>
        <w:t xml:space="preserve"> среднего бизнеса.</w:t>
      </w:r>
    </w:p>
    <w:p w:rsidR="00D51056" w:rsidRDefault="00833BEB" w:rsidP="00E47533">
      <w:pPr>
        <w:pStyle w:val="1"/>
        <w:spacing w:before="120"/>
        <w:jc w:val="both"/>
        <w:rPr>
          <w:b w:val="0"/>
          <w:i/>
        </w:rPr>
      </w:pPr>
      <w:r w:rsidRPr="001D1410">
        <w:rPr>
          <w:b w:val="0"/>
          <w:i/>
        </w:rPr>
        <w:t xml:space="preserve">С уверенностью могу </w:t>
      </w:r>
      <w:r w:rsidR="00173D44" w:rsidRPr="001D1410">
        <w:rPr>
          <w:b w:val="0"/>
          <w:i/>
        </w:rPr>
        <w:t>подчеркнуть</w:t>
      </w:r>
      <w:r w:rsidRPr="001D1410">
        <w:rPr>
          <w:b w:val="0"/>
          <w:i/>
        </w:rPr>
        <w:t xml:space="preserve">, что все принятые меры оказались эффективными и позволили </w:t>
      </w:r>
      <w:r w:rsidR="00327230">
        <w:rPr>
          <w:b w:val="0"/>
          <w:i/>
        </w:rPr>
        <w:t>получить</w:t>
      </w:r>
      <w:r w:rsidR="0016191C">
        <w:rPr>
          <w:b w:val="0"/>
          <w:i/>
        </w:rPr>
        <w:t xml:space="preserve"> </w:t>
      </w:r>
      <w:r w:rsidRPr="001D1410">
        <w:rPr>
          <w:b w:val="0"/>
          <w:i/>
        </w:rPr>
        <w:t>стабильные финансовые результаты. С учетом того,</w:t>
      </w:r>
      <w:r w:rsidR="00173D44" w:rsidRPr="001D1410">
        <w:rPr>
          <w:b w:val="0"/>
          <w:i/>
        </w:rPr>
        <w:t xml:space="preserve"> что </w:t>
      </w:r>
      <w:r w:rsidR="001D1410">
        <w:rPr>
          <w:b w:val="0"/>
          <w:i/>
        </w:rPr>
        <w:t xml:space="preserve">на текущий момент </w:t>
      </w:r>
      <w:r w:rsidR="00173D44" w:rsidRPr="001D1410">
        <w:rPr>
          <w:b w:val="0"/>
          <w:i/>
        </w:rPr>
        <w:t xml:space="preserve">наметились позитивные </w:t>
      </w:r>
      <w:r w:rsidR="001D1410">
        <w:rPr>
          <w:b w:val="0"/>
          <w:i/>
        </w:rPr>
        <w:t>тенденции в сторону восстановления</w:t>
      </w:r>
      <w:r w:rsidR="00173D44" w:rsidRPr="001D1410">
        <w:rPr>
          <w:b w:val="0"/>
          <w:i/>
        </w:rPr>
        <w:t xml:space="preserve"> рынка, компания с оптимизмом смотрит в будущее и планирует дальше двиг</w:t>
      </w:r>
      <w:r w:rsidR="001D1410">
        <w:rPr>
          <w:b w:val="0"/>
          <w:i/>
        </w:rPr>
        <w:t>аться</w:t>
      </w:r>
      <w:r w:rsidR="00486D08">
        <w:rPr>
          <w:b w:val="0"/>
          <w:i/>
        </w:rPr>
        <w:t xml:space="preserve"> в своем развитии.</w:t>
      </w:r>
    </w:p>
    <w:p w:rsidR="00842494" w:rsidRDefault="00842494" w:rsidP="00E47533">
      <w:pPr>
        <w:pStyle w:val="1"/>
        <w:spacing w:before="120"/>
        <w:jc w:val="both"/>
        <w:rPr>
          <w:b w:val="0"/>
          <w:i/>
          <w:sz w:val="18"/>
          <w:szCs w:val="18"/>
        </w:rPr>
      </w:pPr>
    </w:p>
    <w:p w:rsidR="003457F6" w:rsidRPr="00842494" w:rsidRDefault="003457F6" w:rsidP="00842494">
      <w:pPr>
        <w:pStyle w:val="1"/>
        <w:spacing w:before="120"/>
        <w:jc w:val="both"/>
        <w:rPr>
          <w:i/>
          <w:highlight w:val="yellow"/>
        </w:rPr>
      </w:pPr>
    </w:p>
    <w:p w:rsidR="00014684" w:rsidRDefault="00A81EF6" w:rsidP="00E47533">
      <w:pPr>
        <w:pStyle w:val="1"/>
        <w:spacing w:before="122"/>
        <w:jc w:val="both"/>
      </w:pPr>
      <w:r>
        <w:t xml:space="preserve">Ключевые </w:t>
      </w:r>
      <w:r w:rsidR="0036102F">
        <w:t>актив</w:t>
      </w:r>
      <w:r w:rsidR="00EE3B46">
        <w:t>ы</w:t>
      </w:r>
    </w:p>
    <w:p w:rsidR="00014684" w:rsidRDefault="00A81EF6" w:rsidP="00E47533">
      <w:pPr>
        <w:pStyle w:val="a3"/>
        <w:spacing w:before="118"/>
        <w:ind w:left="302"/>
        <w:jc w:val="both"/>
      </w:pPr>
      <w:r>
        <w:t>Общее количество тягачей в эксплуатации</w:t>
      </w:r>
      <w:r w:rsidR="00E93B16">
        <w:t xml:space="preserve"> на</w:t>
      </w:r>
      <w:r>
        <w:t xml:space="preserve"> </w:t>
      </w:r>
      <w:r w:rsidR="00E93B16">
        <w:t>конец</w:t>
      </w:r>
      <w:r>
        <w:t xml:space="preserve"> </w:t>
      </w:r>
      <w:r w:rsidR="00E93B16" w:rsidRPr="00E93B16">
        <w:t>1-</w:t>
      </w:r>
      <w:r w:rsidR="00E93B16">
        <w:t>полугодия 2022</w:t>
      </w:r>
      <w:r>
        <w:t xml:space="preserve"> года </w:t>
      </w:r>
      <w:r w:rsidR="000567A1">
        <w:t>снизилось</w:t>
      </w:r>
      <w:r w:rsidR="005F7FA1">
        <w:t xml:space="preserve"> </w:t>
      </w:r>
      <w:r>
        <w:t xml:space="preserve">на </w:t>
      </w:r>
      <w:bookmarkStart w:id="0" w:name="_bookmark0"/>
      <w:bookmarkEnd w:id="0"/>
      <w:r w:rsidR="00E93B16">
        <w:t>1,8</w:t>
      </w:r>
      <w:r w:rsidR="00BB5222">
        <w:t xml:space="preserve"> %</w:t>
      </w:r>
      <w:r>
        <w:t xml:space="preserve"> или</w:t>
      </w:r>
      <w:r w:rsidR="00E93B16">
        <w:t xml:space="preserve"> 2</w:t>
      </w:r>
      <w:r w:rsidR="004A56AD">
        <w:t>3</w:t>
      </w:r>
      <w:r>
        <w:t xml:space="preserve"> единиц</w:t>
      </w:r>
      <w:r w:rsidR="00E93B16">
        <w:t>ы</w:t>
      </w:r>
      <w:r w:rsidR="00BF45DC">
        <w:rPr>
          <w:rFonts w:ascii="Garamond" w:hAnsi="Garamond"/>
          <w:sz w:val="14"/>
        </w:rPr>
        <w:t xml:space="preserve"> </w:t>
      </w:r>
      <w:r w:rsidR="00BF45DC">
        <w:t>– до</w:t>
      </w:r>
      <w:r w:rsidR="00E47533">
        <w:t xml:space="preserve"> </w:t>
      </w:r>
      <w:r w:rsidR="00BB5222">
        <w:t>1 </w:t>
      </w:r>
      <w:r w:rsidR="00E93B16">
        <w:t>247</w:t>
      </w:r>
      <w:r w:rsidR="00BB5222">
        <w:t xml:space="preserve"> </w:t>
      </w:r>
      <w:r>
        <w:t>единиц</w:t>
      </w:r>
      <w:r>
        <w:rPr>
          <w:rFonts w:ascii="Garamond" w:hAnsi="Garamond"/>
          <w:position w:val="5"/>
          <w:sz w:val="14"/>
        </w:rPr>
        <w:t xml:space="preserve"> </w:t>
      </w:r>
      <w:r>
        <w:t xml:space="preserve">против </w:t>
      </w:r>
      <w:r w:rsidR="00BB5222">
        <w:t>1 </w:t>
      </w:r>
      <w:r w:rsidR="00E93B16">
        <w:t>270</w:t>
      </w:r>
      <w:r w:rsidR="00BB5222">
        <w:t xml:space="preserve"> </w:t>
      </w:r>
      <w:r>
        <w:t>единиц</w:t>
      </w:r>
      <w:r>
        <w:rPr>
          <w:rFonts w:ascii="Garamond" w:hAnsi="Garamond"/>
          <w:position w:val="5"/>
          <w:sz w:val="14"/>
        </w:rPr>
        <w:t xml:space="preserve"> </w:t>
      </w:r>
      <w:r w:rsidR="00C769E1">
        <w:t xml:space="preserve">на </w:t>
      </w:r>
      <w:r w:rsidR="00AA45BD">
        <w:t>31.12</w:t>
      </w:r>
      <w:r w:rsidR="00E93B16">
        <w:t xml:space="preserve">.2021. </w:t>
      </w:r>
      <w:r>
        <w:t xml:space="preserve">Среднее количество тягачей в эксплуатации за год </w:t>
      </w:r>
      <w:r w:rsidR="000A21C0">
        <w:t xml:space="preserve">снизилось </w:t>
      </w:r>
      <w:r>
        <w:t xml:space="preserve">на </w:t>
      </w:r>
      <w:r w:rsidR="00E93B16">
        <w:t>1,6</w:t>
      </w:r>
      <w:r w:rsidR="00E47533">
        <w:t xml:space="preserve"> </w:t>
      </w:r>
      <w:r>
        <w:t>%</w:t>
      </w:r>
      <w:hyperlink w:anchor="_bookmark0" w:history="1">
        <w:r>
          <w:t xml:space="preserve">, </w:t>
        </w:r>
      </w:hyperlink>
      <w:r>
        <w:t>с</w:t>
      </w:r>
      <w:r w:rsidR="00E93B16">
        <w:t xml:space="preserve"> 1 286</w:t>
      </w:r>
      <w:r>
        <w:t xml:space="preserve"> единиц</w:t>
      </w:r>
      <w:hyperlink w:anchor="_bookmark0" w:history="1">
        <w:r>
          <w:rPr>
            <w:rFonts w:ascii="Garamond" w:hAnsi="Garamond"/>
            <w:position w:val="5"/>
            <w:sz w:val="14"/>
          </w:rPr>
          <w:t xml:space="preserve"> </w:t>
        </w:r>
      </w:hyperlink>
      <w:r w:rsidR="00BF45DC">
        <w:t xml:space="preserve">в </w:t>
      </w:r>
      <w:r w:rsidR="00E93B16">
        <w:t>1-полугодии 2021 года</w:t>
      </w:r>
      <w:r>
        <w:t xml:space="preserve"> до 1 </w:t>
      </w:r>
      <w:r w:rsidR="00E93B16">
        <w:t>266</w:t>
      </w:r>
      <w:r>
        <w:t xml:space="preserve"> единиц</w:t>
      </w:r>
      <w:hyperlink w:anchor="_bookmark0" w:history="1">
        <w:r>
          <w:rPr>
            <w:rFonts w:ascii="Garamond" w:hAnsi="Garamond"/>
            <w:position w:val="5"/>
            <w:sz w:val="14"/>
          </w:rPr>
          <w:t xml:space="preserve"> </w:t>
        </w:r>
      </w:hyperlink>
      <w:r w:rsidR="00BF45DC">
        <w:t>в</w:t>
      </w:r>
      <w:r w:rsidR="00E93B16">
        <w:t xml:space="preserve"> сопоставимом периоде</w:t>
      </w:r>
      <w:r w:rsidR="00BF45DC">
        <w:t xml:space="preserve"> 202</w:t>
      </w:r>
      <w:r w:rsidR="00E93B16">
        <w:t>2 года</w:t>
      </w:r>
      <w:r>
        <w:t>.</w:t>
      </w:r>
      <w:r w:rsidR="00390FD0">
        <w:t xml:space="preserve"> </w:t>
      </w:r>
    </w:p>
    <w:p w:rsidR="00AA45BD" w:rsidRDefault="00AA45BD" w:rsidP="0036102F">
      <w:pPr>
        <w:pStyle w:val="1"/>
        <w:spacing w:before="121"/>
        <w:ind w:left="0"/>
        <w:jc w:val="both"/>
      </w:pPr>
    </w:p>
    <w:p w:rsidR="00217CDB" w:rsidRPr="00AA45BD" w:rsidRDefault="0027271E" w:rsidP="00AA45BD">
      <w:pPr>
        <w:pStyle w:val="1"/>
        <w:spacing w:before="121"/>
        <w:ind w:left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</w:t>
      </w:r>
      <w:r w:rsidR="00217CDB">
        <w:t>Выручка</w:t>
      </w:r>
    </w:p>
    <w:p w:rsidR="00217CDB" w:rsidRDefault="00217CDB" w:rsidP="00C20853">
      <w:pPr>
        <w:pStyle w:val="a3"/>
        <w:spacing w:before="120"/>
        <w:ind w:left="302"/>
        <w:jc w:val="both"/>
      </w:pPr>
      <w:r>
        <w:t xml:space="preserve">Выручка Группы </w:t>
      </w:r>
      <w:r w:rsidR="00943E85">
        <w:t xml:space="preserve">за </w:t>
      </w:r>
      <w:r w:rsidR="00E93B16">
        <w:t>6</w:t>
      </w:r>
      <w:r w:rsidR="00943E85">
        <w:t xml:space="preserve"> месяцев</w:t>
      </w:r>
      <w:r>
        <w:t xml:space="preserve"> 202</w:t>
      </w:r>
      <w:r w:rsidR="00E93B16">
        <w:t>2</w:t>
      </w:r>
      <w:r>
        <w:t xml:space="preserve"> год</w:t>
      </w:r>
      <w:r w:rsidR="008453DB">
        <w:t>а</w:t>
      </w:r>
      <w:r>
        <w:t xml:space="preserve"> выросла на</w:t>
      </w:r>
      <w:r w:rsidR="00E93B16">
        <w:t xml:space="preserve"> 9</w:t>
      </w:r>
      <w:r w:rsidR="00C20853">
        <w:t>,9</w:t>
      </w:r>
      <w:r>
        <w:t xml:space="preserve"> % – </w:t>
      </w:r>
      <w:r w:rsidR="00BE7120">
        <w:t xml:space="preserve"> </w:t>
      </w:r>
      <w:r>
        <w:t>до</w:t>
      </w:r>
      <w:r w:rsidR="00E93B16">
        <w:t xml:space="preserve"> 6</w:t>
      </w:r>
      <w:r w:rsidR="00C20853">
        <w:t>,</w:t>
      </w:r>
      <w:r w:rsidR="00E93B16">
        <w:t>1</w:t>
      </w:r>
      <w:r w:rsidR="00C20853">
        <w:t xml:space="preserve">4 </w:t>
      </w:r>
      <w:r>
        <w:t xml:space="preserve">млрд руб., по сравнению с </w:t>
      </w:r>
      <w:r w:rsidR="00E93B16">
        <w:t xml:space="preserve">5,6 </w:t>
      </w:r>
      <w:r>
        <w:t xml:space="preserve">млрд руб. </w:t>
      </w:r>
      <w:r w:rsidR="00943E85">
        <w:t xml:space="preserve">за </w:t>
      </w:r>
      <w:r w:rsidR="008453DB">
        <w:t>сопоставимый период</w:t>
      </w:r>
      <w:r>
        <w:t xml:space="preserve"> 20</w:t>
      </w:r>
      <w:r w:rsidR="00677BA3">
        <w:t>2</w:t>
      </w:r>
      <w:r w:rsidR="00677BA3" w:rsidRPr="00677BA3">
        <w:t>1</w:t>
      </w:r>
      <w:r>
        <w:t xml:space="preserve"> года.</w:t>
      </w:r>
    </w:p>
    <w:p w:rsidR="00894FD0" w:rsidRDefault="00173D44" w:rsidP="00C20853">
      <w:pPr>
        <w:pStyle w:val="a3"/>
        <w:spacing w:before="120"/>
        <w:ind w:left="302"/>
        <w:jc w:val="both"/>
      </w:pPr>
      <w:r>
        <w:t xml:space="preserve">Как и в предыдущие периоды </w:t>
      </w:r>
      <w:r w:rsidR="00894FD0" w:rsidRPr="00894FD0">
        <w:t>Группа показа</w:t>
      </w:r>
      <w:r w:rsidR="00EE3B46">
        <w:t xml:space="preserve">ла рост выручки главным образом </w:t>
      </w:r>
      <w:r w:rsidR="00EE3B46" w:rsidRPr="00894FD0">
        <w:t>за</w:t>
      </w:r>
      <w:r w:rsidR="00894FD0" w:rsidRPr="00894FD0">
        <w:t xml:space="preserve"> счет развития экспедиционной Asset Light </w:t>
      </w:r>
      <w:r w:rsidR="00EE3B46" w:rsidRPr="00894FD0">
        <w:t>модели</w:t>
      </w:r>
      <w:r>
        <w:t xml:space="preserve">, в том числе на базе цифровой платформы </w:t>
      </w:r>
      <w:r>
        <w:rPr>
          <w:lang w:val="en-US"/>
        </w:rPr>
        <w:t>GT</w:t>
      </w:r>
      <w:r w:rsidRPr="00173D44">
        <w:t>-2</w:t>
      </w:r>
      <w:r w:rsidR="00EE3B46" w:rsidRPr="00894FD0">
        <w:t xml:space="preserve"> -</w:t>
      </w:r>
      <w:r w:rsidR="00894FD0" w:rsidRPr="00894FD0">
        <w:t xml:space="preserve"> </w:t>
      </w:r>
      <w:r w:rsidR="00EE3B46">
        <w:t xml:space="preserve">в этом сегменте </w:t>
      </w:r>
      <w:r w:rsidR="00894FD0">
        <w:t>рост выручки</w:t>
      </w:r>
      <w:r w:rsidR="00E93B16">
        <w:t xml:space="preserve"> составил 34,3%, с 1,33 млрд руб. до 1,79 млрд руб. </w:t>
      </w:r>
    </w:p>
    <w:p w:rsidR="00217CDB" w:rsidRDefault="00217CDB" w:rsidP="00E47533">
      <w:pPr>
        <w:pStyle w:val="a3"/>
        <w:spacing w:before="121"/>
        <w:ind w:left="302" w:right="182"/>
        <w:jc w:val="both"/>
      </w:pPr>
      <w:r>
        <w:t xml:space="preserve">Выручка от оказания услуг </w:t>
      </w:r>
      <w:r w:rsidR="004170BA">
        <w:t>собственным парком</w:t>
      </w:r>
      <w:r>
        <w:t xml:space="preserve"> </w:t>
      </w:r>
      <w:r w:rsidR="00E93B16">
        <w:t>за 1-полгодие 2022 года</w:t>
      </w:r>
      <w:r>
        <w:t xml:space="preserve"> </w:t>
      </w:r>
      <w:r w:rsidR="004679FB">
        <w:t xml:space="preserve">выросла </w:t>
      </w:r>
      <w:r>
        <w:t>на</w:t>
      </w:r>
      <w:r w:rsidR="00C20853">
        <w:t xml:space="preserve"> </w:t>
      </w:r>
      <w:r w:rsidR="00E93B16">
        <w:t>2,1%</w:t>
      </w:r>
      <w:r>
        <w:t xml:space="preserve"> или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127E0C">
        <w:rPr>
          <w:spacing w:val="-6"/>
        </w:rPr>
        <w:t>0</w:t>
      </w:r>
      <w:r w:rsidR="00677BA3">
        <w:rPr>
          <w:spacing w:val="-6"/>
        </w:rPr>
        <w:t>,9 млрд руб. и составила</w:t>
      </w:r>
      <w:r w:rsidR="00E93B16">
        <w:rPr>
          <w:spacing w:val="-6"/>
        </w:rPr>
        <w:t xml:space="preserve"> 4,35 млрд руб.</w:t>
      </w:r>
      <w:r w:rsidR="00C20853">
        <w:rPr>
          <w:spacing w:val="-6"/>
        </w:rPr>
        <w:t xml:space="preserve"> </w:t>
      </w:r>
      <w:r w:rsidR="004170BA">
        <w:rPr>
          <w:spacing w:val="-4"/>
        </w:rPr>
        <w:t xml:space="preserve">Данный </w:t>
      </w:r>
      <w:r>
        <w:t>показатель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тягач</w:t>
      </w:r>
      <w:r>
        <w:rPr>
          <w:spacing w:val="-5"/>
        </w:rPr>
        <w:t xml:space="preserve"> </w:t>
      </w:r>
      <w:r>
        <w:t>вырос</w:t>
      </w:r>
      <w:r>
        <w:rPr>
          <w:spacing w:val="-2"/>
        </w:rPr>
        <w:t xml:space="preserve"> </w:t>
      </w:r>
      <w:r>
        <w:t>на</w:t>
      </w:r>
      <w:r w:rsidR="00E93B16">
        <w:t xml:space="preserve"> 3,7</w:t>
      </w:r>
      <w:r>
        <w:t>%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достиг</w:t>
      </w:r>
      <w:r>
        <w:rPr>
          <w:spacing w:val="-5"/>
        </w:rPr>
        <w:t xml:space="preserve"> </w:t>
      </w:r>
      <w:r w:rsidR="00E93B16">
        <w:rPr>
          <w:spacing w:val="-5"/>
        </w:rPr>
        <w:t>3,43</w:t>
      </w:r>
      <w:r>
        <w:t xml:space="preserve"> млн руб.</w:t>
      </w:r>
      <w:r w:rsidR="00E93B16">
        <w:t xml:space="preserve"> по сравнению с 3,3</w:t>
      </w:r>
      <w:r w:rsidR="00C20853">
        <w:t xml:space="preserve"> </w:t>
      </w:r>
      <w:r>
        <w:t xml:space="preserve">млн руб. </w:t>
      </w:r>
      <w:r w:rsidR="004679FB">
        <w:t>в</w:t>
      </w:r>
      <w:r w:rsidR="00E93B16">
        <w:t xml:space="preserve"> 1-полугодии</w:t>
      </w:r>
      <w:r w:rsidR="00943E85">
        <w:t xml:space="preserve"> </w:t>
      </w:r>
      <w:r>
        <w:t>20</w:t>
      </w:r>
      <w:r w:rsidR="00E93B16">
        <w:t>21</w:t>
      </w:r>
      <w:r>
        <w:rPr>
          <w:spacing w:val="-7"/>
        </w:rPr>
        <w:t xml:space="preserve"> </w:t>
      </w:r>
      <w:r>
        <w:t>год</w:t>
      </w:r>
      <w:r w:rsidR="00E93B16">
        <w:t>а</w:t>
      </w:r>
      <w:r>
        <w:t>.</w:t>
      </w:r>
      <w:r w:rsidR="00677BA3">
        <w:t xml:space="preserve"> </w:t>
      </w:r>
    </w:p>
    <w:p w:rsidR="00217CDB" w:rsidRDefault="00217CDB" w:rsidP="00E47533">
      <w:pPr>
        <w:pStyle w:val="1"/>
        <w:spacing w:before="120"/>
        <w:jc w:val="both"/>
      </w:pPr>
      <w:r>
        <w:t>Затраты и EBITDA</w:t>
      </w:r>
    </w:p>
    <w:p w:rsidR="005A7610" w:rsidRDefault="00173D44" w:rsidP="009F60D7">
      <w:pPr>
        <w:pStyle w:val="1"/>
        <w:spacing w:before="120"/>
        <w:jc w:val="both"/>
        <w:rPr>
          <w:b w:val="0"/>
        </w:rPr>
      </w:pPr>
      <w:r>
        <w:rPr>
          <w:b w:val="0"/>
        </w:rPr>
        <w:t>Несмотря на значительный</w:t>
      </w:r>
      <w:r w:rsidR="005A7610">
        <w:rPr>
          <w:b w:val="0"/>
        </w:rPr>
        <w:t xml:space="preserve"> рост стоимости топлива год к году </w:t>
      </w:r>
      <w:r>
        <w:rPr>
          <w:b w:val="0"/>
        </w:rPr>
        <w:t>(</w:t>
      </w:r>
      <w:r w:rsidR="005A7610">
        <w:rPr>
          <w:b w:val="0"/>
        </w:rPr>
        <w:t>на 8,8%</w:t>
      </w:r>
      <w:r>
        <w:rPr>
          <w:b w:val="0"/>
        </w:rPr>
        <w:t>)</w:t>
      </w:r>
      <w:r w:rsidR="005A7610">
        <w:rPr>
          <w:b w:val="0"/>
        </w:rPr>
        <w:t>, валовые затраты на топливо снизились на 6,9%. Такое сни</w:t>
      </w:r>
      <w:r w:rsidR="00AF6F90">
        <w:rPr>
          <w:b w:val="0"/>
        </w:rPr>
        <w:t>жение стало возможным благодаря эффекту</w:t>
      </w:r>
      <w:r>
        <w:rPr>
          <w:b w:val="0"/>
        </w:rPr>
        <w:t xml:space="preserve"> от переоборудования транспортных средств</w:t>
      </w:r>
      <w:r w:rsidR="00C55D47">
        <w:rPr>
          <w:b w:val="0"/>
        </w:rPr>
        <w:t xml:space="preserve"> в </w:t>
      </w:r>
      <w:r>
        <w:rPr>
          <w:b w:val="0"/>
        </w:rPr>
        <w:t xml:space="preserve">газовый и </w:t>
      </w:r>
      <w:r w:rsidR="00C55D47">
        <w:rPr>
          <w:b w:val="0"/>
        </w:rPr>
        <w:t>битопливный режим</w:t>
      </w:r>
      <w:r>
        <w:rPr>
          <w:b w:val="0"/>
        </w:rPr>
        <w:t>ы</w:t>
      </w:r>
      <w:r w:rsidR="00C55D47">
        <w:rPr>
          <w:b w:val="0"/>
        </w:rPr>
        <w:t>.</w:t>
      </w:r>
      <w:r w:rsidR="005A7610">
        <w:rPr>
          <w:b w:val="0"/>
        </w:rPr>
        <w:t xml:space="preserve">  </w:t>
      </w:r>
    </w:p>
    <w:p w:rsidR="005A7610" w:rsidRDefault="00173D44" w:rsidP="009F60D7">
      <w:pPr>
        <w:pStyle w:val="1"/>
        <w:spacing w:before="120"/>
        <w:jc w:val="both"/>
        <w:rPr>
          <w:b w:val="0"/>
        </w:rPr>
      </w:pPr>
      <w:r>
        <w:rPr>
          <w:b w:val="0"/>
        </w:rPr>
        <w:t xml:space="preserve">Резкий </w:t>
      </w:r>
      <w:r w:rsidR="00C55D47">
        <w:rPr>
          <w:b w:val="0"/>
        </w:rPr>
        <w:t>рост</w:t>
      </w:r>
      <w:r w:rsidR="00ED15C1">
        <w:rPr>
          <w:b w:val="0"/>
        </w:rPr>
        <w:t xml:space="preserve"> стоимости</w:t>
      </w:r>
      <w:r w:rsidR="00C55D47">
        <w:rPr>
          <w:b w:val="0"/>
        </w:rPr>
        <w:t xml:space="preserve"> на</w:t>
      </w:r>
      <w:r w:rsidR="00ED15C1">
        <w:rPr>
          <w:b w:val="0"/>
        </w:rPr>
        <w:t xml:space="preserve"> ремонт и обслуживание транспортных средств (рост стоимости основных </w:t>
      </w:r>
      <w:r>
        <w:rPr>
          <w:b w:val="0"/>
        </w:rPr>
        <w:t>комплектующих -</w:t>
      </w:r>
      <w:r w:rsidR="00ED15C1">
        <w:rPr>
          <w:b w:val="0"/>
        </w:rPr>
        <w:t xml:space="preserve"> шины, масла, АКБ) оказал значительное давление </w:t>
      </w:r>
      <w:r>
        <w:rPr>
          <w:b w:val="0"/>
        </w:rPr>
        <w:t xml:space="preserve">на себестоимость Группы. Рост </w:t>
      </w:r>
      <w:r w:rsidR="00AF6F90">
        <w:rPr>
          <w:b w:val="0"/>
        </w:rPr>
        <w:t>затрат на ремонт и техническое обслуживание</w:t>
      </w:r>
      <w:r>
        <w:rPr>
          <w:b w:val="0"/>
        </w:rPr>
        <w:t xml:space="preserve"> составил </w:t>
      </w:r>
      <w:r w:rsidR="00ED15C1">
        <w:rPr>
          <w:b w:val="0"/>
        </w:rPr>
        <w:t>37,5%, рост материалов и комплектующих – 17,6%</w:t>
      </w:r>
      <w:r>
        <w:rPr>
          <w:b w:val="0"/>
        </w:rPr>
        <w:t>.</w:t>
      </w:r>
      <w:r w:rsidR="00ED15C1">
        <w:rPr>
          <w:b w:val="0"/>
        </w:rPr>
        <w:t xml:space="preserve"> </w:t>
      </w:r>
    </w:p>
    <w:p w:rsidR="008D5E79" w:rsidRPr="00E81A50" w:rsidRDefault="00173D44" w:rsidP="00173D44">
      <w:pPr>
        <w:pStyle w:val="a3"/>
        <w:spacing w:before="121"/>
        <w:ind w:left="302" w:right="182"/>
        <w:jc w:val="both"/>
      </w:pPr>
      <w:r>
        <w:t>Скорр.</w:t>
      </w:r>
      <w:r w:rsidR="003D40CA" w:rsidRPr="00E81A50">
        <w:rPr>
          <w:spacing w:val="-4"/>
        </w:rPr>
        <w:t xml:space="preserve"> </w:t>
      </w:r>
      <w:r w:rsidR="003D40CA" w:rsidRPr="00E81A50">
        <w:t>EBITDA</w:t>
      </w:r>
      <w:r w:rsidR="003D40CA" w:rsidRPr="00E81A50">
        <w:rPr>
          <w:spacing w:val="-3"/>
        </w:rPr>
        <w:t xml:space="preserve"> </w:t>
      </w:r>
      <w:r w:rsidR="003D40CA" w:rsidRPr="00E81A50">
        <w:t>Группы</w:t>
      </w:r>
      <w:r w:rsidR="003D40CA" w:rsidRPr="00E81A50">
        <w:rPr>
          <w:spacing w:val="-2"/>
        </w:rPr>
        <w:t xml:space="preserve"> </w:t>
      </w:r>
      <w:r w:rsidR="003D40CA" w:rsidRPr="00E81A50">
        <w:t>по итогам</w:t>
      </w:r>
      <w:r w:rsidR="007A17C8" w:rsidRPr="00E81A50">
        <w:t xml:space="preserve"> 1-</w:t>
      </w:r>
      <w:r w:rsidR="003C5D14">
        <w:t xml:space="preserve">го </w:t>
      </w:r>
      <w:r w:rsidR="00F54AE3" w:rsidRPr="00E81A50">
        <w:t>полугодия составила 354 млн руб., что выше результата 2021 года</w:t>
      </w:r>
      <w:r>
        <w:t xml:space="preserve"> за аналогичный период на 39,6%</w:t>
      </w:r>
      <w:r w:rsidR="003D40CA" w:rsidRPr="00E81A50">
        <w:t xml:space="preserve">. </w:t>
      </w:r>
      <w:r w:rsidR="00C83C1B" w:rsidRPr="00E81A50">
        <w:t>Рентабельность по скорректированной EBITDA составила</w:t>
      </w:r>
      <w:r w:rsidR="00E81A50" w:rsidRPr="00E81A50">
        <w:t xml:space="preserve"> 5,8</w:t>
      </w:r>
      <w:r w:rsidR="00C83C1B" w:rsidRPr="00E81A50">
        <w:t xml:space="preserve"> % против </w:t>
      </w:r>
      <w:r w:rsidR="00E81A50" w:rsidRPr="00E81A50">
        <w:t>4,5</w:t>
      </w:r>
      <w:r w:rsidR="0032731C" w:rsidRPr="00E81A50">
        <w:t xml:space="preserve"> </w:t>
      </w:r>
      <w:r w:rsidR="00C83C1B" w:rsidRPr="00E81A50">
        <w:t xml:space="preserve">% в </w:t>
      </w:r>
      <w:r w:rsidR="00551190">
        <w:t xml:space="preserve">1-м полугодии </w:t>
      </w:r>
      <w:r w:rsidR="00C83C1B" w:rsidRPr="00E81A50">
        <w:t>20</w:t>
      </w:r>
      <w:r w:rsidR="00551190">
        <w:t>21</w:t>
      </w:r>
      <w:r w:rsidR="00C83C1B" w:rsidRPr="00E81A50">
        <w:rPr>
          <w:spacing w:val="-12"/>
        </w:rPr>
        <w:t xml:space="preserve"> </w:t>
      </w:r>
      <w:r w:rsidR="00551190">
        <w:t>года</w:t>
      </w:r>
      <w:r w:rsidR="00C83C1B" w:rsidRPr="00E81A50">
        <w:t>.</w:t>
      </w:r>
      <w:r w:rsidR="008D5E79" w:rsidRPr="00E81A50">
        <w:t xml:space="preserve"> </w:t>
      </w:r>
    </w:p>
    <w:p w:rsidR="00217CDB" w:rsidRDefault="00217CDB" w:rsidP="00E47533">
      <w:pPr>
        <w:pStyle w:val="1"/>
        <w:spacing w:before="121"/>
        <w:jc w:val="both"/>
      </w:pPr>
      <w:r w:rsidRPr="008D5E79">
        <w:t>Чист</w:t>
      </w:r>
      <w:r w:rsidR="004355A4" w:rsidRPr="008D5E79">
        <w:t>ая прибыль</w:t>
      </w:r>
    </w:p>
    <w:p w:rsidR="00DA7216" w:rsidRPr="00DA7216" w:rsidRDefault="00DA7216" w:rsidP="00E47533">
      <w:pPr>
        <w:pStyle w:val="1"/>
        <w:spacing w:before="121"/>
        <w:jc w:val="both"/>
        <w:rPr>
          <w:b w:val="0"/>
        </w:rPr>
      </w:pPr>
      <w:r w:rsidRPr="00DA7216">
        <w:rPr>
          <w:b w:val="0"/>
        </w:rPr>
        <w:t>Чистая прибыль Г</w:t>
      </w:r>
      <w:r w:rsidR="0065282A">
        <w:rPr>
          <w:b w:val="0"/>
        </w:rPr>
        <w:t>руппы по итогам 1-</w:t>
      </w:r>
      <w:r w:rsidR="003C5D14">
        <w:rPr>
          <w:b w:val="0"/>
        </w:rPr>
        <w:t xml:space="preserve">го </w:t>
      </w:r>
      <w:r w:rsidR="0065282A">
        <w:rPr>
          <w:b w:val="0"/>
        </w:rPr>
        <w:t>полугодия 2022</w:t>
      </w:r>
      <w:r w:rsidRPr="00DA7216">
        <w:rPr>
          <w:b w:val="0"/>
        </w:rPr>
        <w:t xml:space="preserve"> года составила 17,9 млн руб. против 23,7 млн руб. за аналогичный период 2021 года. Существенное влияние на чистую прибыль оказал рост стоимости финансирования в конце 1-</w:t>
      </w:r>
      <w:r w:rsidR="0016191C">
        <w:rPr>
          <w:b w:val="0"/>
        </w:rPr>
        <w:t xml:space="preserve">го </w:t>
      </w:r>
      <w:r w:rsidRPr="00DA7216">
        <w:rPr>
          <w:b w:val="0"/>
        </w:rPr>
        <w:t>квартала, что повлекло за собой возросшие расходы на выплату процентов по обслуживанию долга.</w:t>
      </w:r>
    </w:p>
    <w:p w:rsidR="00217CDB" w:rsidRDefault="00217CDB" w:rsidP="00E47533">
      <w:pPr>
        <w:pStyle w:val="1"/>
        <w:spacing w:before="119"/>
        <w:jc w:val="both"/>
      </w:pPr>
      <w:r>
        <w:t>Долг</w:t>
      </w:r>
    </w:p>
    <w:p w:rsidR="00D01E27" w:rsidRDefault="00217CDB" w:rsidP="00E034FE">
      <w:pPr>
        <w:pStyle w:val="a3"/>
        <w:spacing w:before="120"/>
        <w:ind w:left="302" w:right="182"/>
        <w:jc w:val="both"/>
      </w:pPr>
      <w:r w:rsidRPr="00014BF9">
        <w:t>Общий долг</w:t>
      </w:r>
      <w:r w:rsidR="00D01E27">
        <w:t xml:space="preserve"> за первое полугодие снизился на 1,7% или 59,2 млн руб. относительно начала года.</w:t>
      </w:r>
    </w:p>
    <w:p w:rsidR="00D01E27" w:rsidRDefault="00D01E27" w:rsidP="00E034FE">
      <w:pPr>
        <w:pStyle w:val="a3"/>
        <w:spacing w:before="120"/>
        <w:ind w:left="302" w:right="182"/>
        <w:jc w:val="both"/>
      </w:pPr>
      <w:r>
        <w:t xml:space="preserve">Чистый долг на 30.06.2022 составил 2,77 млрд руб. Соотношение показателя Чистый долг к </w:t>
      </w:r>
      <w:r>
        <w:rPr>
          <w:lang w:val="en-US"/>
        </w:rPr>
        <w:t>EBITDA</w:t>
      </w:r>
      <w:r w:rsidRPr="00D01E27">
        <w:t xml:space="preserve"> </w:t>
      </w:r>
      <w:r>
        <w:t>составило 2,78.</w:t>
      </w:r>
    </w:p>
    <w:p w:rsidR="00D01E27" w:rsidRDefault="00D01E27" w:rsidP="00E034FE">
      <w:pPr>
        <w:pStyle w:val="a3"/>
        <w:spacing w:before="120"/>
        <w:ind w:left="302" w:right="182"/>
        <w:jc w:val="both"/>
      </w:pPr>
    </w:p>
    <w:p w:rsidR="00D01E27" w:rsidRDefault="00D01E27" w:rsidP="006F7086">
      <w:pPr>
        <w:pStyle w:val="a3"/>
        <w:spacing w:before="120"/>
        <w:ind w:right="182"/>
        <w:jc w:val="both"/>
      </w:pPr>
    </w:p>
    <w:p w:rsidR="00AF6F90" w:rsidRDefault="00AF6F90" w:rsidP="00486D08">
      <w:pPr>
        <w:pStyle w:val="a3"/>
        <w:spacing w:before="120"/>
        <w:ind w:right="182"/>
        <w:jc w:val="both"/>
      </w:pPr>
    </w:p>
    <w:p w:rsidR="00AF6F90" w:rsidRPr="00D01E27" w:rsidRDefault="00AF6F90" w:rsidP="00E034FE">
      <w:pPr>
        <w:pStyle w:val="a3"/>
        <w:spacing w:before="120"/>
        <w:ind w:left="302" w:right="182"/>
        <w:jc w:val="both"/>
      </w:pPr>
    </w:p>
    <w:p w:rsidR="00014684" w:rsidRDefault="00A81EF6">
      <w:pPr>
        <w:pStyle w:val="1"/>
        <w:spacing w:before="31"/>
        <w:ind w:left="429" w:right="316"/>
        <w:jc w:val="center"/>
      </w:pPr>
      <w:r>
        <w:t>Ключ</w:t>
      </w:r>
      <w:r w:rsidR="00F43F59">
        <w:t xml:space="preserve">евые финансовые показатели по итогам </w:t>
      </w:r>
      <w:r w:rsidR="00D01E27">
        <w:t>1-полугодия 2022-2021 годов</w:t>
      </w:r>
      <w:r>
        <w:t xml:space="preserve">, </w:t>
      </w:r>
      <w:r w:rsidR="00D2742F">
        <w:t>млн</w:t>
      </w:r>
      <w:r>
        <w:t xml:space="preserve"> руб.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3876"/>
        <w:gridCol w:w="1747"/>
        <w:gridCol w:w="1637"/>
        <w:gridCol w:w="1637"/>
      </w:tblGrid>
      <w:tr w:rsidR="006D2A39" w:rsidRPr="00F43F59" w:rsidTr="0096718D">
        <w:trPr>
          <w:trHeight w:val="257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ADDCFF"/>
            <w:vAlign w:val="center"/>
            <w:hideMark/>
          </w:tcPr>
          <w:p w:rsidR="006D2A39" w:rsidRPr="00F43F59" w:rsidRDefault="006D2A39" w:rsidP="009671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 w:rsidRPr="00F43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ADDCFF"/>
            <w:vAlign w:val="center"/>
            <w:hideMark/>
          </w:tcPr>
          <w:p w:rsidR="006D2A39" w:rsidRPr="00F43F59" w:rsidRDefault="00D01E27" w:rsidP="0096718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 ПГ 2022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ADDCFF"/>
            <w:vAlign w:val="center"/>
            <w:hideMark/>
          </w:tcPr>
          <w:p w:rsidR="006D2A39" w:rsidRPr="00F43F59" w:rsidRDefault="00D01E27" w:rsidP="0096718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 ПГ 2021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ADDCFF"/>
            <w:vAlign w:val="center"/>
            <w:hideMark/>
          </w:tcPr>
          <w:p w:rsidR="006D2A39" w:rsidRPr="00F43F59" w:rsidRDefault="00564424" w:rsidP="0096718D">
            <w:pPr>
              <w:widowControl/>
              <w:autoSpaceDE/>
              <w:autoSpaceDN/>
              <w:ind w:firstLineChars="100" w:firstLine="20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Изм.</w:t>
            </w:r>
          </w:p>
        </w:tc>
      </w:tr>
      <w:tr w:rsidR="006D2A39" w:rsidRPr="00F43F59" w:rsidTr="0096718D">
        <w:trPr>
          <w:trHeight w:val="257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A39" w:rsidRPr="00F43F59" w:rsidRDefault="006D2A39" w:rsidP="0096718D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3F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Выручка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A39" w:rsidRPr="00F43F59" w:rsidRDefault="00D01E27" w:rsidP="00D01E2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</w:t>
            </w:r>
            <w:r w:rsidR="006D2A39">
              <w:rPr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A39" w:rsidRPr="00F43F59" w:rsidRDefault="000F7AB2" w:rsidP="00D2742F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5 593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A39" w:rsidRPr="00F43F59" w:rsidRDefault="000F7AB2" w:rsidP="0096718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6D2A39">
              <w:rPr>
                <w:b/>
                <w:bCs/>
                <w:color w:val="000000"/>
                <w:sz w:val="20"/>
                <w:szCs w:val="20"/>
              </w:rPr>
              <w:t>,9%</w:t>
            </w:r>
          </w:p>
        </w:tc>
      </w:tr>
      <w:tr w:rsidR="00095602" w:rsidRPr="00F43F59" w:rsidTr="00EB7848">
        <w:trPr>
          <w:trHeight w:val="28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602" w:rsidRPr="009D7763" w:rsidRDefault="00095602" w:rsidP="00095602">
            <w:pPr>
              <w:widowControl/>
              <w:autoSpaceDE/>
              <w:autoSpaceDN/>
              <w:spacing w:after="120"/>
              <w:ind w:left="7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– в т.ч. </w:t>
            </w:r>
            <w:r w:rsidRPr="00987035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в</w:t>
            </w:r>
            <w:r w:rsidRPr="009D7763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ыручка от оперирования собственным парком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054727" w:rsidRDefault="000F7AB2" w:rsidP="000F7AB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09560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5E4A3E" w:rsidRDefault="000F7AB2" w:rsidP="000F7AB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B52A3F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255</w:t>
            </w:r>
            <w:r w:rsidR="000956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6C611D" w:rsidRDefault="000F7AB2" w:rsidP="000956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2,1</w:t>
            </w:r>
            <w:r w:rsidR="006C611D">
              <w:rPr>
                <w:b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095602" w:rsidRPr="00F43F59" w:rsidTr="00EB7848">
        <w:trPr>
          <w:trHeight w:val="77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602" w:rsidRPr="009D7763" w:rsidRDefault="00095602" w:rsidP="00095602">
            <w:pPr>
              <w:widowControl/>
              <w:autoSpaceDE/>
              <w:autoSpaceDN/>
              <w:spacing w:after="120"/>
              <w:ind w:left="7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– в т.ч. </w:t>
            </w:r>
            <w:r w:rsidRPr="00987035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в</w:t>
            </w:r>
            <w:r w:rsidRPr="009D7763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ыручка от экспедирования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054727" w:rsidRDefault="000F7AB2" w:rsidP="000F7AB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95602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785</w:t>
            </w:r>
            <w:r w:rsidR="000956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5E4A3E" w:rsidRDefault="00095602" w:rsidP="000F7AB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0F7AB2">
              <w:rPr>
                <w:b/>
                <w:bCs/>
                <w:color w:val="000000"/>
                <w:sz w:val="20"/>
                <w:szCs w:val="20"/>
              </w:rPr>
              <w:t>329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5E4A3E" w:rsidRDefault="000F7AB2" w:rsidP="000956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34,3%</w:t>
            </w:r>
          </w:p>
        </w:tc>
      </w:tr>
      <w:tr w:rsidR="00095602" w:rsidRPr="00F43F59" w:rsidTr="00EB7848">
        <w:trPr>
          <w:trHeight w:val="528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602" w:rsidRPr="000B71C7" w:rsidRDefault="00095602" w:rsidP="00095602">
            <w:pPr>
              <w:widowControl/>
              <w:autoSpaceDE/>
              <w:autoSpaceDN/>
              <w:spacing w:after="120"/>
              <w:ind w:left="720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6718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– в т.ч.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прочая выручка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095602" w:rsidRDefault="000F7AB2" w:rsidP="00D8033B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0956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Pr="00095602" w:rsidRDefault="000F7AB2" w:rsidP="00D8033B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8,4</w:t>
            </w:r>
            <w:r w:rsidR="000956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02" w:rsidRDefault="000F7AB2" w:rsidP="000956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</w:t>
            </w:r>
            <w:r w:rsidR="0009560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B6202" w:rsidRPr="00F43F59" w:rsidTr="00EB7848">
        <w:trPr>
          <w:trHeight w:val="528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0C596E" w:rsidRDefault="008B6202" w:rsidP="008B6202">
            <w:pPr>
              <w:widowControl/>
              <w:autoSpaceDE/>
              <w:autoSpaceDN/>
              <w:spacing w:after="1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Количество заявок экспедирования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054727" w:rsidRDefault="00637845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21 863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B52A3F" w:rsidRDefault="000F7AB2" w:rsidP="000F7AB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805C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054727" w:rsidRDefault="006F7086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20,5</w:t>
            </w:r>
            <w:r w:rsidR="008B6202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B6202" w:rsidRPr="00F43F59" w:rsidTr="00EB7848">
        <w:trPr>
          <w:trHeight w:val="528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9D7763" w:rsidRDefault="008B6202" w:rsidP="008B6202">
            <w:pPr>
              <w:widowControl/>
              <w:autoSpaceDE/>
              <w:autoSpaceDN/>
              <w:spacing w:after="120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bidi="ar-SA"/>
              </w:rPr>
            </w:pPr>
            <w:r w:rsidRPr="009D7763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bidi="ar-SA"/>
              </w:rPr>
              <w:t>Доля экспедирования, %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713BCF" w:rsidRDefault="000F7AB2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29</w:t>
            </w:r>
            <w:r w:rsidR="008B6202">
              <w:rPr>
                <w:b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0C596E" w:rsidRDefault="000F7AB2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21,6</w:t>
            </w:r>
            <w:r w:rsidR="008B6202">
              <w:rPr>
                <w:b/>
                <w:bCs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202" w:rsidRPr="008276CD" w:rsidRDefault="000F7AB2" w:rsidP="008B6202">
            <w:pPr>
              <w:widowControl/>
              <w:autoSpaceDE/>
              <w:autoSpaceDN/>
              <w:spacing w:after="12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</w:t>
            </w:r>
            <w:r w:rsidR="004049E8">
              <w:rPr>
                <w:b/>
                <w:bCs/>
                <w:i/>
                <w:color w:val="000000"/>
                <w:sz w:val="20"/>
                <w:szCs w:val="20"/>
              </w:rPr>
              <w:t>,4</w:t>
            </w:r>
            <w:r w:rsidR="008B6202" w:rsidRPr="0096718D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E3B46">
              <w:rPr>
                <w:b/>
                <w:bCs/>
                <w:i/>
                <w:color w:val="000000"/>
                <w:sz w:val="20"/>
                <w:szCs w:val="20"/>
              </w:rPr>
              <w:t>п.</w:t>
            </w:r>
            <w:r w:rsidR="008B6202">
              <w:rPr>
                <w:b/>
                <w:bCs/>
                <w:i/>
                <w:color w:val="000000"/>
                <w:sz w:val="20"/>
                <w:szCs w:val="20"/>
              </w:rPr>
              <w:t>п.</w:t>
            </w:r>
          </w:p>
        </w:tc>
      </w:tr>
      <w:tr w:rsidR="008B6202" w:rsidRPr="00F43F59" w:rsidTr="0096718D">
        <w:trPr>
          <w:trHeight w:val="24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F42" w:rsidRPr="006F7EFE" w:rsidRDefault="006F7EFE" w:rsidP="008B620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Скорр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. </w:t>
            </w:r>
            <w:r w:rsidR="00923F4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bidi="ar-SA"/>
              </w:rPr>
              <w:t>EBITDA</w:t>
            </w:r>
          </w:p>
          <w:p w:rsidR="008B6202" w:rsidRPr="00F43F59" w:rsidRDefault="008B6202" w:rsidP="008B620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Чистая прибыль (убыток)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42" w:rsidRPr="006F7EFE" w:rsidRDefault="00923F42" w:rsidP="00D803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EFE">
              <w:rPr>
                <w:b/>
                <w:bCs/>
                <w:color w:val="000000"/>
                <w:sz w:val="20"/>
                <w:szCs w:val="20"/>
              </w:rPr>
              <w:t>354,2</w:t>
            </w:r>
          </w:p>
          <w:p w:rsidR="008B6202" w:rsidRPr="006F7EFE" w:rsidRDefault="000F7AB2" w:rsidP="00D8033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  <w:r w:rsidR="00DC31D1" w:rsidRPr="006F7E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42" w:rsidRPr="006F7EFE" w:rsidRDefault="00923F42" w:rsidP="00D8033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EFE">
              <w:rPr>
                <w:b/>
                <w:bCs/>
                <w:color w:val="000000"/>
                <w:sz w:val="20"/>
                <w:szCs w:val="20"/>
              </w:rPr>
              <w:t>253,6</w:t>
            </w:r>
          </w:p>
          <w:p w:rsidR="008B6202" w:rsidRPr="00F43F59" w:rsidRDefault="000F7AB2" w:rsidP="00D8033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23,7</w:t>
            </w:r>
            <w:r w:rsidR="008B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42" w:rsidRPr="006F7EFE" w:rsidRDefault="00923F42" w:rsidP="008B620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EFE">
              <w:rPr>
                <w:b/>
                <w:bCs/>
                <w:color w:val="000000"/>
                <w:sz w:val="20"/>
                <w:szCs w:val="20"/>
              </w:rPr>
              <w:t>39,6%</w:t>
            </w:r>
          </w:p>
          <w:p w:rsidR="008B6202" w:rsidRPr="006F7EFE" w:rsidRDefault="000F7AB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-24,4%</w:t>
            </w:r>
          </w:p>
        </w:tc>
      </w:tr>
      <w:tr w:rsidR="008B6202" w:rsidRPr="00F43F59" w:rsidTr="00F8603F">
        <w:trPr>
          <w:trHeight w:val="528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B6202" w:rsidRPr="00F43F59" w:rsidTr="00F8603F">
        <w:trPr>
          <w:trHeight w:val="54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202" w:rsidRPr="00F43F59" w:rsidRDefault="008B6202" w:rsidP="008B620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014684" w:rsidRDefault="00014684">
      <w:pPr>
        <w:pStyle w:val="a3"/>
        <w:rPr>
          <w:b/>
          <w:sz w:val="32"/>
        </w:rPr>
      </w:pPr>
    </w:p>
    <w:p w:rsidR="006D2A39" w:rsidRPr="00EF6E3A" w:rsidRDefault="006D2A39">
      <w:pPr>
        <w:pStyle w:val="a3"/>
        <w:rPr>
          <w:b/>
          <w:sz w:val="32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83"/>
        <w:gridCol w:w="4782"/>
      </w:tblGrid>
      <w:tr w:rsidR="00014684" w:rsidRPr="00EF6E3A">
        <w:trPr>
          <w:trHeight w:val="1147"/>
        </w:trPr>
        <w:tc>
          <w:tcPr>
            <w:tcW w:w="3883" w:type="dxa"/>
          </w:tcPr>
          <w:p w:rsidR="00014684" w:rsidRDefault="00A81EF6">
            <w:pPr>
              <w:pStyle w:val="TableParagraph"/>
              <w:ind w:left="200"/>
              <w:jc w:val="left"/>
              <w:rPr>
                <w:b/>
              </w:rPr>
            </w:pPr>
            <w:r>
              <w:rPr>
                <w:b/>
              </w:rPr>
              <w:t>Контакты для инвесторов</w:t>
            </w:r>
            <w:r w:rsidR="00DB113E" w:rsidRPr="00EF6E3A">
              <w:rPr>
                <w:b/>
              </w:rPr>
              <w:t xml:space="preserve"> </w:t>
            </w:r>
            <w:r w:rsidR="00DB113E">
              <w:rPr>
                <w:b/>
              </w:rPr>
              <w:t>и СМИ</w:t>
            </w:r>
            <w:r>
              <w:rPr>
                <w:b/>
              </w:rPr>
              <w:t>:</w:t>
            </w:r>
          </w:p>
          <w:p w:rsidR="00055C79" w:rsidRDefault="00055C79">
            <w:pPr>
              <w:pStyle w:val="TableParagraph"/>
              <w:ind w:left="200"/>
              <w:jc w:val="left"/>
              <w:rPr>
                <w:b/>
              </w:rPr>
            </w:pPr>
          </w:p>
          <w:p w:rsidR="00055C79" w:rsidRDefault="00DB113E" w:rsidP="0007257A">
            <w:pPr>
              <w:pStyle w:val="TableParagraph"/>
              <w:ind w:left="200"/>
              <w:jc w:val="left"/>
            </w:pPr>
            <w:r>
              <w:t>Мария Степанова</w:t>
            </w:r>
          </w:p>
          <w:p w:rsidR="00055C79" w:rsidRDefault="00055C79" w:rsidP="0007257A">
            <w:pPr>
              <w:pStyle w:val="TableParagraph"/>
              <w:ind w:left="200"/>
              <w:jc w:val="left"/>
            </w:pPr>
            <w:r>
              <w:t>+7 495 137 88</w:t>
            </w:r>
            <w:r w:rsidR="00F55603">
              <w:t xml:space="preserve"> </w:t>
            </w:r>
            <w:r>
              <w:t>88</w:t>
            </w:r>
          </w:p>
          <w:p w:rsidR="00055C79" w:rsidRPr="00BE7120" w:rsidRDefault="00055C79" w:rsidP="00055C79">
            <w:pPr>
              <w:pStyle w:val="TableParagraph"/>
              <w:spacing w:line="240" w:lineRule="auto"/>
              <w:ind w:left="200"/>
              <w:jc w:val="left"/>
            </w:pPr>
            <w:r w:rsidRPr="0007257A">
              <w:rPr>
                <w:lang w:val="en-US"/>
              </w:rPr>
              <w:t>E</w:t>
            </w:r>
            <w:r w:rsidRPr="00BE7120">
              <w:t>-</w:t>
            </w:r>
            <w:r w:rsidRPr="0007257A">
              <w:rPr>
                <w:lang w:val="en-US"/>
              </w:rPr>
              <w:t>mail</w:t>
            </w:r>
            <w:r w:rsidRPr="00BE7120">
              <w:t xml:space="preserve">: </w:t>
            </w:r>
            <w:proofErr w:type="spellStart"/>
            <w:r w:rsidR="00DB113E">
              <w:rPr>
                <w:lang w:val="en-US"/>
              </w:rPr>
              <w:t>maria</w:t>
            </w:r>
            <w:proofErr w:type="spellEnd"/>
            <w:r w:rsidR="00DB113E" w:rsidRPr="00BE7120">
              <w:t>.</w:t>
            </w:r>
            <w:proofErr w:type="spellStart"/>
            <w:r w:rsidR="00DB113E">
              <w:rPr>
                <w:lang w:val="en-US"/>
              </w:rPr>
              <w:t>stepanova</w:t>
            </w:r>
            <w:proofErr w:type="spellEnd"/>
            <w:r w:rsidRPr="00BE7120">
              <w:t>@</w:t>
            </w:r>
            <w:proofErr w:type="spellStart"/>
            <w:r w:rsidRPr="0007257A">
              <w:rPr>
                <w:lang w:val="en-US"/>
              </w:rPr>
              <w:t>gt</w:t>
            </w:r>
            <w:proofErr w:type="spellEnd"/>
            <w:r w:rsidRPr="00BE7120">
              <w:t>-</w:t>
            </w:r>
            <w:r w:rsidRPr="0007257A">
              <w:rPr>
                <w:lang w:val="en-US"/>
              </w:rPr>
              <w:t>m</w:t>
            </w:r>
            <w:r w:rsidRPr="00BE7120">
              <w:t>.</w:t>
            </w:r>
            <w:proofErr w:type="spellStart"/>
            <w:r w:rsidRPr="0007257A">
              <w:rPr>
                <w:lang w:val="en-US"/>
              </w:rPr>
              <w:t>ru</w:t>
            </w:r>
            <w:proofErr w:type="spellEnd"/>
          </w:p>
          <w:p w:rsidR="00014684" w:rsidRPr="00BE7120" w:rsidRDefault="00014684">
            <w:pPr>
              <w:pStyle w:val="TableParagraph"/>
              <w:spacing w:line="245" w:lineRule="exact"/>
              <w:ind w:left="200"/>
              <w:jc w:val="left"/>
            </w:pPr>
          </w:p>
        </w:tc>
        <w:tc>
          <w:tcPr>
            <w:tcW w:w="4782" w:type="dxa"/>
          </w:tcPr>
          <w:p w:rsidR="00014684" w:rsidRPr="00BE7120" w:rsidRDefault="00DB113E" w:rsidP="00EF6E3A">
            <w:pPr>
              <w:pStyle w:val="TableParagraph"/>
              <w:ind w:left="987"/>
              <w:jc w:val="left"/>
            </w:pPr>
            <w:r w:rsidRPr="00BE7120" w:rsidDel="00DB113E">
              <w:rPr>
                <w:b/>
              </w:rPr>
              <w:t xml:space="preserve"> </w:t>
            </w:r>
          </w:p>
        </w:tc>
      </w:tr>
    </w:tbl>
    <w:p w:rsidR="00014684" w:rsidRDefault="00A81EF6">
      <w:pPr>
        <w:spacing w:before="56"/>
        <w:ind w:left="302"/>
        <w:rPr>
          <w:i/>
        </w:rPr>
      </w:pPr>
      <w:r>
        <w:rPr>
          <w:i/>
        </w:rPr>
        <w:t>Примечание: неточности расчетов в данном пресс-релизе объясняются эффектом округления.</w:t>
      </w: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A0467D" w:rsidRDefault="00A0467D">
      <w:pPr>
        <w:pStyle w:val="a3"/>
        <w:spacing w:before="11"/>
        <w:rPr>
          <w:i/>
          <w:sz w:val="28"/>
        </w:rPr>
      </w:pPr>
    </w:p>
    <w:p w:rsidR="00606B06" w:rsidRDefault="0094494B" w:rsidP="00551190">
      <w:pPr>
        <w:pStyle w:val="a3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5F2CB0" wp14:editId="2C422AB0">
                <wp:simplePos x="0" y="0"/>
                <wp:positionH relativeFrom="page">
                  <wp:posOffset>1080770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485D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9pt" to="229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/mEQIAACg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014684" w:rsidRDefault="00014684">
      <w:pPr>
        <w:jc w:val="both"/>
        <w:rPr>
          <w:sz w:val="20"/>
        </w:rPr>
        <w:sectPr w:rsidR="00014684" w:rsidSect="00314B98">
          <w:footerReference w:type="default" r:id="rId9"/>
          <w:footerReference w:type="first" r:id="rId10"/>
          <w:pgSz w:w="11910" w:h="16840"/>
          <w:pgMar w:top="1080" w:right="660" w:bottom="500" w:left="1400" w:header="0" w:footer="308" w:gutter="0"/>
          <w:pgNumType w:start="3"/>
          <w:cols w:space="720"/>
          <w:titlePg/>
          <w:docGrid w:linePitch="299"/>
        </w:sectPr>
      </w:pPr>
    </w:p>
    <w:p w:rsidR="00E034FE" w:rsidRPr="00087D60" w:rsidRDefault="00E034FE" w:rsidP="00E034FE">
      <w:pPr>
        <w:pStyle w:val="1"/>
        <w:spacing w:before="33"/>
      </w:pPr>
      <w:r w:rsidRPr="00087D60">
        <w:t>ПРИМЕЧАНИЯ ДЛЯ РЕДАКТОРОВ</w:t>
      </w:r>
    </w:p>
    <w:p w:rsidR="000F75ED" w:rsidRDefault="00E034FE" w:rsidP="000F75ED">
      <w:pPr>
        <w:pStyle w:val="a3"/>
        <w:spacing w:before="118"/>
        <w:ind w:left="302" w:right="187"/>
        <w:jc w:val="both"/>
      </w:pPr>
      <w:r w:rsidRPr="00087D60">
        <w:rPr>
          <w:b/>
        </w:rPr>
        <w:t>Globaltruck</w:t>
      </w:r>
      <w:r w:rsidR="000F75ED">
        <w:rPr>
          <w:b/>
        </w:rPr>
        <w:t xml:space="preserve"> </w:t>
      </w:r>
      <w:r w:rsidR="000F75ED">
        <w:t>– один из ведущих автомобильных грузов</w:t>
      </w:r>
      <w:r w:rsidR="00AE7009">
        <w:t>ых FTL-перевозчиков и</w:t>
      </w:r>
      <w:r w:rsidR="005D035C">
        <w:t xml:space="preserve"> </w:t>
      </w:r>
      <w:r w:rsidR="000F75ED">
        <w:t>крупнейших грузоперевозчиков по объему выручки и количеству транспортных единиц</w:t>
      </w:r>
      <w:r w:rsidR="00AE7009">
        <w:t xml:space="preserve"> в РФ</w:t>
      </w:r>
      <w:r w:rsidR="000F75ED">
        <w:t>.</w:t>
      </w:r>
    </w:p>
    <w:p w:rsidR="000F75ED" w:rsidRDefault="000F75ED" w:rsidP="000F75ED">
      <w:pPr>
        <w:pStyle w:val="a3"/>
        <w:spacing w:before="118"/>
        <w:ind w:left="302" w:right="187"/>
        <w:jc w:val="both"/>
      </w:pPr>
      <w:r>
        <w:t>Globaltruck осуществляет грузовые перевозки по российским и международным маршрутам, а также оказывает услуги по экспедированию грузов. 16 подразделений Globaltruck расположены в Екатеринбурге, Новосибирске, Магнитогорске, Ногинске (Московская область), Перми, Омске, Челябинске, Самаре, Уфе, Чебоксарах, Тюмени, Краснодаре, Ростове-на-Дону, Елабуге, Ельце, Санкт-Петербурге. Компания имеет сертифицированные центры технического обслуживания и ремонта, расположенных на ключевых маршрутах.</w:t>
      </w:r>
    </w:p>
    <w:p w:rsidR="000F75ED" w:rsidRDefault="000F75ED" w:rsidP="000F75ED">
      <w:pPr>
        <w:pStyle w:val="a3"/>
        <w:spacing w:before="118"/>
        <w:ind w:left="302" w:right="187"/>
        <w:jc w:val="both"/>
      </w:pPr>
      <w:r>
        <w:t>Маршрутная сеть Globaltruck охватывает центральные регионы России,</w:t>
      </w:r>
      <w:r w:rsidR="005D035C">
        <w:t xml:space="preserve"> Юг, Северо-Запад,</w:t>
      </w:r>
      <w:r>
        <w:t xml:space="preserve"> Урал, Сибирь, Дальний Восток, кроме того, компания осуществляет </w:t>
      </w:r>
      <w:r w:rsidR="005D035C">
        <w:t>доставку грузов между Россией и странами СНГ</w:t>
      </w:r>
      <w:r>
        <w:t>. Globaltruck обслуживает около тысячи клиентов, в число которых входят компании секторов розничной торговли, FMCG, промышленные холдинги, компании сектора электронной коммерции и доставки посылок (e-commerce &amp; parcel).</w:t>
      </w:r>
    </w:p>
    <w:p w:rsidR="00E034FE" w:rsidRDefault="00E034FE" w:rsidP="003351CB">
      <w:pPr>
        <w:pStyle w:val="a3"/>
        <w:spacing w:before="118"/>
        <w:ind w:left="302" w:right="187"/>
        <w:jc w:val="both"/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Pr="0084249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014684">
      <w:pPr>
        <w:pStyle w:val="a3"/>
        <w:rPr>
          <w:sz w:val="20"/>
        </w:rPr>
      </w:pPr>
    </w:p>
    <w:p w:rsidR="00014684" w:rsidRDefault="0094494B">
      <w:pPr>
        <w:pStyle w:val="a3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32BB3C" wp14:editId="4945A66B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182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8CD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pt" to="229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hZEg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:rsidR="00014684" w:rsidRDefault="00014684">
      <w:pPr>
        <w:spacing w:before="72"/>
        <w:ind w:left="302"/>
        <w:rPr>
          <w:sz w:val="20"/>
        </w:rPr>
      </w:pPr>
    </w:p>
    <w:sectPr w:rsidR="00014684">
      <w:pgSz w:w="11910" w:h="16840"/>
      <w:pgMar w:top="1080" w:right="660" w:bottom="500" w:left="1400" w:header="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BE" w:rsidRDefault="005429BE">
      <w:r>
        <w:separator/>
      </w:r>
    </w:p>
  </w:endnote>
  <w:endnote w:type="continuationSeparator" w:id="0">
    <w:p w:rsidR="005429BE" w:rsidRDefault="005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84" w:rsidRDefault="0001468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D4" w:rsidRPr="006879D4" w:rsidRDefault="006879D4" w:rsidP="006879D4">
    <w:pPr>
      <w:pStyle w:val="1"/>
      <w:spacing w:before="120"/>
      <w:jc w:val="both"/>
      <w:rPr>
        <w:b w:val="0"/>
        <w:i/>
        <w:color w:val="808080" w:themeColor="background1" w:themeShade="80"/>
        <w:sz w:val="18"/>
        <w:szCs w:val="18"/>
        <w:highlight w:val="yellow"/>
      </w:rPr>
    </w:pPr>
    <w:r w:rsidRPr="006879D4">
      <w:rPr>
        <w:b w:val="0"/>
        <w:i/>
        <w:color w:val="808080" w:themeColor="background1" w:themeShade="80"/>
        <w:sz w:val="18"/>
        <w:szCs w:val="18"/>
      </w:rPr>
      <w:t xml:space="preserve">EBITDA* -  скорректированный показатель EBITDA Группы без учета разовых операций. </w:t>
    </w:r>
    <w:r w:rsidR="002249C9" w:rsidRPr="006879D4">
      <w:rPr>
        <w:b w:val="0"/>
        <w:i/>
        <w:color w:val="808080" w:themeColor="background1" w:themeShade="80"/>
        <w:sz w:val="18"/>
        <w:szCs w:val="18"/>
      </w:rPr>
      <w:t>Результат по</w:t>
    </w:r>
    <w:r w:rsidRPr="006879D4">
      <w:rPr>
        <w:b w:val="0"/>
        <w:i/>
        <w:color w:val="808080" w:themeColor="background1" w:themeShade="80"/>
        <w:sz w:val="18"/>
        <w:szCs w:val="18"/>
      </w:rPr>
      <w:t xml:space="preserve"> итогам 1-</w:t>
    </w:r>
    <w:r w:rsidR="002249C9">
      <w:rPr>
        <w:b w:val="0"/>
        <w:i/>
        <w:color w:val="808080" w:themeColor="background1" w:themeShade="80"/>
        <w:sz w:val="18"/>
        <w:szCs w:val="18"/>
      </w:rPr>
      <w:t xml:space="preserve">го </w:t>
    </w:r>
    <w:r w:rsidRPr="006879D4">
      <w:rPr>
        <w:b w:val="0"/>
        <w:i/>
        <w:color w:val="808080" w:themeColor="background1" w:themeShade="80"/>
        <w:sz w:val="18"/>
        <w:szCs w:val="18"/>
      </w:rPr>
      <w:t>полугодия 2021 года приведён с учётом пересмотренной консолидированной финансовой отчётности, без учёта единовременных операций: дохода,</w:t>
    </w:r>
    <w:r w:rsidR="00486D08">
      <w:rPr>
        <w:b w:val="0"/>
        <w:i/>
        <w:color w:val="808080" w:themeColor="background1" w:themeShade="80"/>
        <w:sz w:val="18"/>
        <w:szCs w:val="18"/>
      </w:rPr>
      <w:t xml:space="preserve"> полученного в связи со списанием</w:t>
    </w:r>
    <w:r w:rsidRPr="006879D4">
      <w:rPr>
        <w:b w:val="0"/>
        <w:i/>
        <w:color w:val="808080" w:themeColor="background1" w:themeShade="80"/>
        <w:sz w:val="18"/>
        <w:szCs w:val="18"/>
      </w:rPr>
      <w:t xml:space="preserve"> субсидированного кредита, полученного в 2020 году в рамках программы государственной поддержки отраслей, наиболее пострадавших от пандемии. Суммарный объём единовременных операций составляет 167,4 млн руб.</w:t>
    </w:r>
  </w:p>
  <w:p w:rsidR="00314B98" w:rsidRPr="006879D4" w:rsidRDefault="00314B98" w:rsidP="006879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BE" w:rsidRDefault="005429BE">
      <w:r>
        <w:separator/>
      </w:r>
    </w:p>
  </w:footnote>
  <w:footnote w:type="continuationSeparator" w:id="0">
    <w:p w:rsidR="005429BE" w:rsidRDefault="005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5DEA"/>
    <w:multiLevelType w:val="hybridMultilevel"/>
    <w:tmpl w:val="52CE25A0"/>
    <w:lvl w:ilvl="0" w:tplc="E8FC9392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6ECD98">
      <w:numFmt w:val="bullet"/>
      <w:lvlText w:val="•"/>
      <w:lvlJc w:val="left"/>
      <w:pPr>
        <w:ind w:left="1578" w:hanging="360"/>
      </w:pPr>
      <w:rPr>
        <w:rFonts w:hint="default"/>
        <w:lang w:val="ru-RU" w:eastAsia="ru-RU" w:bidi="ru-RU"/>
      </w:rPr>
    </w:lvl>
    <w:lvl w:ilvl="2" w:tplc="E13A05FA">
      <w:numFmt w:val="bullet"/>
      <w:lvlText w:val="•"/>
      <w:lvlJc w:val="left"/>
      <w:pPr>
        <w:ind w:left="2497" w:hanging="360"/>
      </w:pPr>
      <w:rPr>
        <w:rFonts w:hint="default"/>
        <w:lang w:val="ru-RU" w:eastAsia="ru-RU" w:bidi="ru-RU"/>
      </w:rPr>
    </w:lvl>
    <w:lvl w:ilvl="3" w:tplc="C2688FB6">
      <w:numFmt w:val="bullet"/>
      <w:lvlText w:val="•"/>
      <w:lvlJc w:val="left"/>
      <w:pPr>
        <w:ind w:left="3415" w:hanging="360"/>
      </w:pPr>
      <w:rPr>
        <w:rFonts w:hint="default"/>
        <w:lang w:val="ru-RU" w:eastAsia="ru-RU" w:bidi="ru-RU"/>
      </w:rPr>
    </w:lvl>
    <w:lvl w:ilvl="4" w:tplc="D8DAE30C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D6007CCE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50C2AAC2">
      <w:numFmt w:val="bullet"/>
      <w:lvlText w:val="•"/>
      <w:lvlJc w:val="left"/>
      <w:pPr>
        <w:ind w:left="6171" w:hanging="360"/>
      </w:pPr>
      <w:rPr>
        <w:rFonts w:hint="default"/>
        <w:lang w:val="ru-RU" w:eastAsia="ru-RU" w:bidi="ru-RU"/>
      </w:rPr>
    </w:lvl>
    <w:lvl w:ilvl="7" w:tplc="79923236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B464FDD2">
      <w:numFmt w:val="bullet"/>
      <w:lvlText w:val="•"/>
      <w:lvlJc w:val="left"/>
      <w:pPr>
        <w:ind w:left="800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4"/>
    <w:rsid w:val="0000469D"/>
    <w:rsid w:val="0001127B"/>
    <w:rsid w:val="00014684"/>
    <w:rsid w:val="00014BF9"/>
    <w:rsid w:val="00055633"/>
    <w:rsid w:val="00055C79"/>
    <w:rsid w:val="000567A1"/>
    <w:rsid w:val="0007257A"/>
    <w:rsid w:val="0007528B"/>
    <w:rsid w:val="00087D60"/>
    <w:rsid w:val="00095602"/>
    <w:rsid w:val="000A21C0"/>
    <w:rsid w:val="000B0283"/>
    <w:rsid w:val="000B38B2"/>
    <w:rsid w:val="000C0C49"/>
    <w:rsid w:val="000D1881"/>
    <w:rsid w:val="000F75ED"/>
    <w:rsid w:val="000F7AB2"/>
    <w:rsid w:val="00104893"/>
    <w:rsid w:val="00126792"/>
    <w:rsid w:val="00127E0C"/>
    <w:rsid w:val="00131078"/>
    <w:rsid w:val="0013121C"/>
    <w:rsid w:val="0016191C"/>
    <w:rsid w:val="00173D44"/>
    <w:rsid w:val="00184032"/>
    <w:rsid w:val="0018608D"/>
    <w:rsid w:val="00186ED3"/>
    <w:rsid w:val="001C6B3D"/>
    <w:rsid w:val="001D1410"/>
    <w:rsid w:val="001F0008"/>
    <w:rsid w:val="00204D82"/>
    <w:rsid w:val="00217CDB"/>
    <w:rsid w:val="002249C9"/>
    <w:rsid w:val="0023084C"/>
    <w:rsid w:val="002327AC"/>
    <w:rsid w:val="0027271E"/>
    <w:rsid w:val="002755BC"/>
    <w:rsid w:val="00297750"/>
    <w:rsid w:val="002A6D4E"/>
    <w:rsid w:val="002C06B6"/>
    <w:rsid w:val="002C2753"/>
    <w:rsid w:val="002C47F3"/>
    <w:rsid w:val="002C766E"/>
    <w:rsid w:val="002D59AF"/>
    <w:rsid w:val="002E2E14"/>
    <w:rsid w:val="002E362D"/>
    <w:rsid w:val="002F5CCE"/>
    <w:rsid w:val="00300FEB"/>
    <w:rsid w:val="00314B98"/>
    <w:rsid w:val="00321B44"/>
    <w:rsid w:val="00327230"/>
    <w:rsid w:val="0032731C"/>
    <w:rsid w:val="00330B3D"/>
    <w:rsid w:val="003351CB"/>
    <w:rsid w:val="003457F6"/>
    <w:rsid w:val="00351C37"/>
    <w:rsid w:val="0036102F"/>
    <w:rsid w:val="00376729"/>
    <w:rsid w:val="00377D6E"/>
    <w:rsid w:val="00390FD0"/>
    <w:rsid w:val="003A0F13"/>
    <w:rsid w:val="003C5D14"/>
    <w:rsid w:val="003D40CA"/>
    <w:rsid w:val="003D52A7"/>
    <w:rsid w:val="003F5220"/>
    <w:rsid w:val="0040204B"/>
    <w:rsid w:val="004049E8"/>
    <w:rsid w:val="00404F7F"/>
    <w:rsid w:val="004170BA"/>
    <w:rsid w:val="004355A4"/>
    <w:rsid w:val="0045270D"/>
    <w:rsid w:val="00463F26"/>
    <w:rsid w:val="004646B9"/>
    <w:rsid w:val="00466D84"/>
    <w:rsid w:val="004679FB"/>
    <w:rsid w:val="004741A2"/>
    <w:rsid w:val="00486D08"/>
    <w:rsid w:val="004A46F3"/>
    <w:rsid w:val="004A56AD"/>
    <w:rsid w:val="004B2A2A"/>
    <w:rsid w:val="004B3ED2"/>
    <w:rsid w:val="004B645A"/>
    <w:rsid w:val="004C35A8"/>
    <w:rsid w:val="004D1220"/>
    <w:rsid w:val="00525003"/>
    <w:rsid w:val="0054108C"/>
    <w:rsid w:val="005429BE"/>
    <w:rsid w:val="00551190"/>
    <w:rsid w:val="00564424"/>
    <w:rsid w:val="00567D54"/>
    <w:rsid w:val="00575F6E"/>
    <w:rsid w:val="0058362C"/>
    <w:rsid w:val="005A3DA6"/>
    <w:rsid w:val="005A6E58"/>
    <w:rsid w:val="005A7610"/>
    <w:rsid w:val="005B1AFC"/>
    <w:rsid w:val="005B6FDB"/>
    <w:rsid w:val="005C5F42"/>
    <w:rsid w:val="005D035C"/>
    <w:rsid w:val="005D12BD"/>
    <w:rsid w:val="005D1C34"/>
    <w:rsid w:val="005F7FA1"/>
    <w:rsid w:val="0060508D"/>
    <w:rsid w:val="00606B06"/>
    <w:rsid w:val="006075CB"/>
    <w:rsid w:val="00626486"/>
    <w:rsid w:val="00637845"/>
    <w:rsid w:val="0065282A"/>
    <w:rsid w:val="00656EA2"/>
    <w:rsid w:val="00665766"/>
    <w:rsid w:val="00671732"/>
    <w:rsid w:val="00672DF6"/>
    <w:rsid w:val="00677BA3"/>
    <w:rsid w:val="00681996"/>
    <w:rsid w:val="00686068"/>
    <w:rsid w:val="006879D4"/>
    <w:rsid w:val="006B3246"/>
    <w:rsid w:val="006B6677"/>
    <w:rsid w:val="006C3948"/>
    <w:rsid w:val="006C611D"/>
    <w:rsid w:val="006D2A39"/>
    <w:rsid w:val="006D5423"/>
    <w:rsid w:val="006E4800"/>
    <w:rsid w:val="006F5364"/>
    <w:rsid w:val="006F5FC6"/>
    <w:rsid w:val="006F7086"/>
    <w:rsid w:val="006F7EFE"/>
    <w:rsid w:val="00712C5D"/>
    <w:rsid w:val="00714E31"/>
    <w:rsid w:val="00720AE1"/>
    <w:rsid w:val="00750146"/>
    <w:rsid w:val="007676FF"/>
    <w:rsid w:val="00773B27"/>
    <w:rsid w:val="0077408F"/>
    <w:rsid w:val="007A17C8"/>
    <w:rsid w:val="007C556B"/>
    <w:rsid w:val="007C7B28"/>
    <w:rsid w:val="007E372B"/>
    <w:rsid w:val="007E46EE"/>
    <w:rsid w:val="007E613F"/>
    <w:rsid w:val="007F4F8A"/>
    <w:rsid w:val="007F5D88"/>
    <w:rsid w:val="00805CD5"/>
    <w:rsid w:val="00824361"/>
    <w:rsid w:val="00833BEB"/>
    <w:rsid w:val="00841C23"/>
    <w:rsid w:val="00842494"/>
    <w:rsid w:val="008445BE"/>
    <w:rsid w:val="008453DB"/>
    <w:rsid w:val="00854225"/>
    <w:rsid w:val="00876BB7"/>
    <w:rsid w:val="00884895"/>
    <w:rsid w:val="00894FD0"/>
    <w:rsid w:val="008972D1"/>
    <w:rsid w:val="008B6202"/>
    <w:rsid w:val="008B7953"/>
    <w:rsid w:val="008D57B9"/>
    <w:rsid w:val="008D5E79"/>
    <w:rsid w:val="008F705A"/>
    <w:rsid w:val="008F78F1"/>
    <w:rsid w:val="0091216B"/>
    <w:rsid w:val="009123A4"/>
    <w:rsid w:val="00923F42"/>
    <w:rsid w:val="00926FC4"/>
    <w:rsid w:val="00931533"/>
    <w:rsid w:val="0093245B"/>
    <w:rsid w:val="00943E85"/>
    <w:rsid w:val="0094494B"/>
    <w:rsid w:val="00947762"/>
    <w:rsid w:val="009534CE"/>
    <w:rsid w:val="00957B2C"/>
    <w:rsid w:val="00962388"/>
    <w:rsid w:val="00977E5F"/>
    <w:rsid w:val="0098494B"/>
    <w:rsid w:val="00986D9E"/>
    <w:rsid w:val="009B3219"/>
    <w:rsid w:val="009B37BE"/>
    <w:rsid w:val="009C10E8"/>
    <w:rsid w:val="009C7629"/>
    <w:rsid w:val="009F60D7"/>
    <w:rsid w:val="00A0467D"/>
    <w:rsid w:val="00A14E47"/>
    <w:rsid w:val="00A535EF"/>
    <w:rsid w:val="00A736C0"/>
    <w:rsid w:val="00A763AD"/>
    <w:rsid w:val="00A81EF6"/>
    <w:rsid w:val="00A9681A"/>
    <w:rsid w:val="00AA45BD"/>
    <w:rsid w:val="00AA4D36"/>
    <w:rsid w:val="00AA7662"/>
    <w:rsid w:val="00AB3B28"/>
    <w:rsid w:val="00AC59C9"/>
    <w:rsid w:val="00AE1E9D"/>
    <w:rsid w:val="00AE7009"/>
    <w:rsid w:val="00AF047F"/>
    <w:rsid w:val="00AF6F90"/>
    <w:rsid w:val="00B121E5"/>
    <w:rsid w:val="00B1230D"/>
    <w:rsid w:val="00B141AF"/>
    <w:rsid w:val="00B26076"/>
    <w:rsid w:val="00B3381B"/>
    <w:rsid w:val="00B44078"/>
    <w:rsid w:val="00B44A24"/>
    <w:rsid w:val="00B50B88"/>
    <w:rsid w:val="00B51FB7"/>
    <w:rsid w:val="00B52A3F"/>
    <w:rsid w:val="00B60616"/>
    <w:rsid w:val="00B73036"/>
    <w:rsid w:val="00B73480"/>
    <w:rsid w:val="00BA3F17"/>
    <w:rsid w:val="00BA7B21"/>
    <w:rsid w:val="00BB5222"/>
    <w:rsid w:val="00BB7BC7"/>
    <w:rsid w:val="00BC7711"/>
    <w:rsid w:val="00BE14AF"/>
    <w:rsid w:val="00BE3879"/>
    <w:rsid w:val="00BE7120"/>
    <w:rsid w:val="00BF2AE3"/>
    <w:rsid w:val="00BF45DC"/>
    <w:rsid w:val="00C136CE"/>
    <w:rsid w:val="00C20853"/>
    <w:rsid w:val="00C24601"/>
    <w:rsid w:val="00C3614D"/>
    <w:rsid w:val="00C4546F"/>
    <w:rsid w:val="00C52F23"/>
    <w:rsid w:val="00C55CF4"/>
    <w:rsid w:val="00C55D47"/>
    <w:rsid w:val="00C769E1"/>
    <w:rsid w:val="00C81C65"/>
    <w:rsid w:val="00C83C1B"/>
    <w:rsid w:val="00C84E05"/>
    <w:rsid w:val="00C85D38"/>
    <w:rsid w:val="00CA220D"/>
    <w:rsid w:val="00CA28FF"/>
    <w:rsid w:val="00CB0C88"/>
    <w:rsid w:val="00CB3179"/>
    <w:rsid w:val="00CB649E"/>
    <w:rsid w:val="00CC0DB0"/>
    <w:rsid w:val="00CC6058"/>
    <w:rsid w:val="00CD3120"/>
    <w:rsid w:val="00CE2E21"/>
    <w:rsid w:val="00CE42EE"/>
    <w:rsid w:val="00D01E27"/>
    <w:rsid w:val="00D04C81"/>
    <w:rsid w:val="00D0645D"/>
    <w:rsid w:val="00D10E34"/>
    <w:rsid w:val="00D2742F"/>
    <w:rsid w:val="00D40E2C"/>
    <w:rsid w:val="00D43F5A"/>
    <w:rsid w:val="00D51056"/>
    <w:rsid w:val="00D57847"/>
    <w:rsid w:val="00D755D7"/>
    <w:rsid w:val="00D8033B"/>
    <w:rsid w:val="00D80FB5"/>
    <w:rsid w:val="00D97844"/>
    <w:rsid w:val="00DA231C"/>
    <w:rsid w:val="00DA7216"/>
    <w:rsid w:val="00DB113E"/>
    <w:rsid w:val="00DB7C8A"/>
    <w:rsid w:val="00DC31D1"/>
    <w:rsid w:val="00DC5CDC"/>
    <w:rsid w:val="00DE194A"/>
    <w:rsid w:val="00DE5720"/>
    <w:rsid w:val="00E034FE"/>
    <w:rsid w:val="00E04A0C"/>
    <w:rsid w:val="00E06F76"/>
    <w:rsid w:val="00E1726C"/>
    <w:rsid w:val="00E47533"/>
    <w:rsid w:val="00E50C37"/>
    <w:rsid w:val="00E5262E"/>
    <w:rsid w:val="00E817F6"/>
    <w:rsid w:val="00E81A50"/>
    <w:rsid w:val="00E93B16"/>
    <w:rsid w:val="00EA79B7"/>
    <w:rsid w:val="00EB78DF"/>
    <w:rsid w:val="00EC649E"/>
    <w:rsid w:val="00EC738C"/>
    <w:rsid w:val="00ED15C1"/>
    <w:rsid w:val="00EE0B6C"/>
    <w:rsid w:val="00EE3B46"/>
    <w:rsid w:val="00EF4BB5"/>
    <w:rsid w:val="00EF6E3A"/>
    <w:rsid w:val="00F05791"/>
    <w:rsid w:val="00F43F59"/>
    <w:rsid w:val="00F54AE3"/>
    <w:rsid w:val="00F55603"/>
    <w:rsid w:val="00F84051"/>
    <w:rsid w:val="00F8603F"/>
    <w:rsid w:val="00FA3ED3"/>
    <w:rsid w:val="00FA7362"/>
    <w:rsid w:val="00FB0E9D"/>
    <w:rsid w:val="00FD2074"/>
    <w:rsid w:val="00FD47F7"/>
    <w:rsid w:val="00FE496E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5A7F"/>
  <w15:docId w15:val="{C1AD0198-0705-4157-BBA1-FB1B74B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30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1"/>
      <w:ind w:left="661" w:right="182" w:hanging="360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F7F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A1"/>
    <w:rPr>
      <w:rFonts w:ascii="Segoe UI" w:eastAsia="Calibri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A4D36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D36"/>
    <w:rPr>
      <w:rFonts w:ascii="Calibri" w:eastAsia="Calibri" w:hAnsi="Calibri" w:cs="Calibri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A4D36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D36"/>
    <w:rPr>
      <w:rFonts w:ascii="Calibri" w:eastAsia="Calibri" w:hAnsi="Calibri" w:cs="Calibri"/>
      <w:lang w:val="ru-RU" w:eastAsia="ru-RU" w:bidi="ru-RU"/>
    </w:rPr>
  </w:style>
  <w:style w:type="character" w:styleId="ab">
    <w:name w:val="Hyperlink"/>
    <w:basedOn w:val="a0"/>
    <w:uiPriority w:val="99"/>
    <w:unhideWhenUsed/>
    <w:rsid w:val="00AA4D36"/>
    <w:rPr>
      <w:color w:val="0000FF"/>
      <w:u w:val="single"/>
    </w:rPr>
  </w:style>
  <w:style w:type="character" w:customStyle="1" w:styleId="NormalS-06Char">
    <w:name w:val="Normal S-0/6 Char"/>
    <w:basedOn w:val="a0"/>
    <w:link w:val="NormalS-06"/>
    <w:locked/>
    <w:rsid w:val="00686068"/>
    <w:rPr>
      <w:rFonts w:ascii="Garamond" w:hAnsi="Garamond"/>
    </w:rPr>
  </w:style>
  <w:style w:type="paragraph" w:customStyle="1" w:styleId="NormalS-06">
    <w:name w:val="Normal S-0/6"/>
    <w:basedOn w:val="a"/>
    <w:link w:val="NormalS-06Char"/>
    <w:rsid w:val="00686068"/>
    <w:pPr>
      <w:widowControl/>
      <w:autoSpaceDE/>
      <w:autoSpaceDN/>
      <w:spacing w:after="120"/>
      <w:jc w:val="both"/>
    </w:pPr>
    <w:rPr>
      <w:rFonts w:ascii="Garamond" w:eastAsiaTheme="minorHAnsi" w:hAnsi="Garamond" w:cstheme="minorBidi"/>
      <w:lang w:val="en-US" w:eastAsia="en-US" w:bidi="ar-SA"/>
    </w:rPr>
  </w:style>
  <w:style w:type="character" w:styleId="ac">
    <w:name w:val="annotation reference"/>
    <w:basedOn w:val="a0"/>
    <w:uiPriority w:val="99"/>
    <w:semiHidden/>
    <w:unhideWhenUsed/>
    <w:rsid w:val="008D57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57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D57B9"/>
    <w:rPr>
      <w:rFonts w:ascii="Calibri" w:eastAsia="Calibri" w:hAnsi="Calibri" w:cs="Calibri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57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57B9"/>
    <w:rPr>
      <w:rFonts w:ascii="Calibri" w:eastAsia="Calibri" w:hAnsi="Calibri" w:cs="Calibri"/>
      <w:b/>
      <w:bCs/>
      <w:sz w:val="20"/>
      <w:szCs w:val="20"/>
      <w:lang w:val="ru-RU" w:eastAsia="ru-RU" w:bidi="ru-RU"/>
    </w:rPr>
  </w:style>
  <w:style w:type="paragraph" w:styleId="af1">
    <w:name w:val="footnote text"/>
    <w:basedOn w:val="a"/>
    <w:link w:val="af2"/>
    <w:uiPriority w:val="99"/>
    <w:semiHidden/>
    <w:unhideWhenUsed/>
    <w:rsid w:val="003D40C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D40CA"/>
    <w:rPr>
      <w:rFonts w:ascii="Calibri" w:eastAsia="Calibri" w:hAnsi="Calibri" w:cs="Calibri"/>
      <w:sz w:val="20"/>
      <w:szCs w:val="20"/>
      <w:lang w:val="ru-RU" w:eastAsia="ru-RU" w:bidi="ru-RU"/>
    </w:rPr>
  </w:style>
  <w:style w:type="character" w:styleId="af3">
    <w:name w:val="footnote reference"/>
    <w:basedOn w:val="a0"/>
    <w:uiPriority w:val="99"/>
    <w:semiHidden/>
    <w:unhideWhenUsed/>
    <w:rsid w:val="003D40CA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6879D4"/>
    <w:rPr>
      <w:rFonts w:ascii="Calibri" w:eastAsia="Calibri" w:hAnsi="Calibri" w:cs="Calibri"/>
      <w:b/>
      <w:bCs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DC25-46F9-4111-ADAC-64C1D800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Strictly Private and Confidential</vt:lpstr>
      <vt:lpstr>Strictly Private and Confidential</vt:lpstr>
    </vt:vector>
  </TitlesOfParts>
  <Company>SPecialiST RePack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Private and Confidential</dc:title>
  <dc:creator>ET</dc:creator>
  <cp:lastModifiedBy>Степанова Мария Дмитриевна</cp:lastModifiedBy>
  <cp:revision>4</cp:revision>
  <cp:lastPrinted>2021-04-30T13:47:00Z</cp:lastPrinted>
  <dcterms:created xsi:type="dcterms:W3CDTF">2022-08-29T12:00:00Z</dcterms:created>
  <dcterms:modified xsi:type="dcterms:W3CDTF">2022-08-29T12:04:00Z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2020-04-16T00:00:00Z</vt:filetime>
  </property>
</Properties>
</file>