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684" w:rsidRDefault="00A81EF6">
      <w:pPr>
        <w:pStyle w:val="BodyText"/>
        <w:ind w:left="299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n-US" w:eastAsia="en-US" w:bidi="ar-SA"/>
        </w:rPr>
        <w:drawing>
          <wp:inline distT="0" distB="0" distL="0" distR="0" wp14:anchorId="64C1EDF2" wp14:editId="7ED244D6">
            <wp:extent cx="2077290" cy="37947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7290" cy="379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4684" w:rsidRDefault="00014684">
      <w:pPr>
        <w:pStyle w:val="BodyText"/>
        <w:rPr>
          <w:rFonts w:ascii="Times New Roman"/>
          <w:sz w:val="20"/>
        </w:rPr>
      </w:pPr>
    </w:p>
    <w:p w:rsidR="00014684" w:rsidRDefault="00014684">
      <w:pPr>
        <w:pStyle w:val="BodyText"/>
        <w:spacing w:before="6"/>
        <w:rPr>
          <w:rFonts w:ascii="Times New Roman"/>
          <w:sz w:val="18"/>
        </w:rPr>
      </w:pPr>
    </w:p>
    <w:p w:rsidR="00014684" w:rsidRDefault="00A81EF6">
      <w:pPr>
        <w:spacing w:before="64"/>
        <w:ind w:left="429" w:right="318"/>
        <w:jc w:val="center"/>
        <w:rPr>
          <w:b/>
          <w:sz w:val="18"/>
        </w:rPr>
      </w:pPr>
      <w:r>
        <w:rPr>
          <w:b/>
          <w:sz w:val="18"/>
        </w:rPr>
        <w:t>НЕ ДЛЯ РАСПРОСТРАНЕНИЯ, ПУБЛИКАЦИИ ИЛИ РАССЫЛКИ, ПРЯМОЙ ИЛИ КОСВЕННОЙ, ПОЛНОЙ ИЛИ ЧАСТИЧНОЙ, НА ТЕРРИТОРИИ США, АВСТРАЛИИ, КАНАДЫ, ЯПОНИИ ИЛИ В ЛЮБОЙ ДРУГОЙ ЮРИСДИКЦИИ,</w:t>
      </w:r>
    </w:p>
    <w:p w:rsidR="00014684" w:rsidRDefault="00A81EF6">
      <w:pPr>
        <w:spacing w:line="219" w:lineRule="exact"/>
        <w:ind w:left="421" w:right="318"/>
        <w:jc w:val="center"/>
        <w:rPr>
          <w:b/>
          <w:sz w:val="18"/>
        </w:rPr>
      </w:pPr>
      <w:r>
        <w:rPr>
          <w:b/>
          <w:sz w:val="18"/>
        </w:rPr>
        <w:t>ГДЕ РАСПРОСТРАНЕНИЕ НАСТОЯЩЕГО ОЪЯВЛЕНИЯ ЯВЛЯЕТСЯ НЕЗАКОННЫМ</w:t>
      </w:r>
    </w:p>
    <w:p w:rsidR="00014684" w:rsidRDefault="00014684">
      <w:pPr>
        <w:pStyle w:val="BodyText"/>
        <w:rPr>
          <w:b/>
          <w:sz w:val="20"/>
        </w:rPr>
      </w:pPr>
    </w:p>
    <w:p w:rsidR="00014684" w:rsidRDefault="00014684">
      <w:pPr>
        <w:pStyle w:val="BodyText"/>
        <w:spacing w:before="12"/>
        <w:rPr>
          <w:b/>
          <w:sz w:val="24"/>
        </w:rPr>
      </w:pPr>
    </w:p>
    <w:tbl>
      <w:tblPr>
        <w:tblStyle w:val="TableNormal1"/>
        <w:tblW w:w="0" w:type="auto"/>
        <w:tblInd w:w="217" w:type="dxa"/>
        <w:tblLayout w:type="fixed"/>
        <w:tblLook w:val="01E0" w:firstRow="1" w:lastRow="1" w:firstColumn="1" w:lastColumn="1" w:noHBand="0" w:noVBand="0"/>
      </w:tblPr>
      <w:tblGrid>
        <w:gridCol w:w="5567"/>
        <w:gridCol w:w="3965"/>
      </w:tblGrid>
      <w:tr w:rsidR="00014684">
        <w:trPr>
          <w:trHeight w:val="220"/>
        </w:trPr>
        <w:tc>
          <w:tcPr>
            <w:tcW w:w="5567" w:type="dxa"/>
          </w:tcPr>
          <w:p w:rsidR="00014684" w:rsidRDefault="00A81EF6">
            <w:pPr>
              <w:pStyle w:val="TableParagraph"/>
              <w:spacing w:line="201" w:lineRule="exact"/>
              <w:ind w:left="200"/>
              <w:jc w:val="left"/>
              <w:rPr>
                <w:b/>
              </w:rPr>
            </w:pPr>
            <w:r>
              <w:rPr>
                <w:b/>
              </w:rPr>
              <w:t>Для немедленного распространения</w:t>
            </w:r>
          </w:p>
        </w:tc>
        <w:tc>
          <w:tcPr>
            <w:tcW w:w="3965" w:type="dxa"/>
          </w:tcPr>
          <w:p w:rsidR="00014684" w:rsidRDefault="00AB3B28" w:rsidP="00986D9E">
            <w:pPr>
              <w:pStyle w:val="TableParagraph"/>
              <w:spacing w:line="201" w:lineRule="exact"/>
              <w:ind w:left="1829"/>
              <w:jc w:val="left"/>
              <w:rPr>
                <w:b/>
              </w:rPr>
            </w:pPr>
            <w:r>
              <w:rPr>
                <w:b/>
              </w:rPr>
              <w:t>29</w:t>
            </w:r>
            <w:r w:rsidR="00A81EF6" w:rsidRPr="00C4546F">
              <w:rPr>
                <w:b/>
              </w:rPr>
              <w:t xml:space="preserve"> </w:t>
            </w:r>
            <w:r w:rsidR="00986D9E" w:rsidRPr="00C4546F">
              <w:rPr>
                <w:b/>
              </w:rPr>
              <w:t>апреля</w:t>
            </w:r>
            <w:r w:rsidR="002A6D4E" w:rsidRPr="00C4546F">
              <w:rPr>
                <w:b/>
              </w:rPr>
              <w:t xml:space="preserve"> </w:t>
            </w:r>
            <w:r w:rsidR="00A81EF6" w:rsidRPr="00C4546F">
              <w:rPr>
                <w:b/>
              </w:rPr>
              <w:t>20</w:t>
            </w:r>
            <w:r w:rsidR="005F7FA1" w:rsidRPr="00C4546F">
              <w:rPr>
                <w:b/>
              </w:rPr>
              <w:t>2</w:t>
            </w:r>
            <w:r>
              <w:rPr>
                <w:b/>
              </w:rPr>
              <w:t>2</w:t>
            </w:r>
            <w:r w:rsidR="00A81EF6" w:rsidRPr="00C4546F">
              <w:rPr>
                <w:b/>
              </w:rPr>
              <w:t xml:space="preserve"> года</w:t>
            </w:r>
          </w:p>
        </w:tc>
      </w:tr>
    </w:tbl>
    <w:p w:rsidR="00014684" w:rsidRDefault="00014684">
      <w:pPr>
        <w:pStyle w:val="BodyText"/>
        <w:rPr>
          <w:b/>
          <w:sz w:val="20"/>
        </w:rPr>
      </w:pPr>
    </w:p>
    <w:p w:rsidR="00014684" w:rsidRDefault="00014684">
      <w:pPr>
        <w:pStyle w:val="BodyText"/>
        <w:spacing w:before="5"/>
        <w:rPr>
          <w:b/>
          <w:sz w:val="17"/>
        </w:rPr>
      </w:pPr>
    </w:p>
    <w:p w:rsidR="00014684" w:rsidRDefault="00A81EF6" w:rsidP="00E47533">
      <w:pPr>
        <w:pStyle w:val="Heading1"/>
        <w:spacing w:before="56"/>
        <w:ind w:left="1734"/>
        <w:jc w:val="both"/>
      </w:pPr>
      <w:r>
        <w:t>GLOBALTRUCK ОБЪЯВЛ</w:t>
      </w:r>
      <w:r w:rsidR="00C85D38">
        <w:t>ЯЕТ ФИНАНСОВЫЕ РЕЗУЛЬТАТЫ ЗА 202</w:t>
      </w:r>
      <w:r w:rsidR="00AB3B28">
        <w:t>1</w:t>
      </w:r>
      <w:r>
        <w:t xml:space="preserve"> ГОД</w:t>
      </w:r>
    </w:p>
    <w:p w:rsidR="00014684" w:rsidRPr="000F75ED" w:rsidRDefault="00A81EF6" w:rsidP="00CE2E21">
      <w:pPr>
        <w:pStyle w:val="BodyText"/>
        <w:spacing w:before="120"/>
        <w:ind w:left="302" w:right="180"/>
        <w:jc w:val="both"/>
      </w:pPr>
      <w:r w:rsidRPr="000F75ED">
        <w:t>П</w:t>
      </w:r>
      <w:r w:rsidR="00CE2E21">
        <w:t xml:space="preserve">убличное акционерное </w:t>
      </w:r>
      <w:r w:rsidR="003351CB">
        <w:t xml:space="preserve">общество </w:t>
      </w:r>
      <w:r w:rsidR="003351CB" w:rsidRPr="000F75ED">
        <w:t>«</w:t>
      </w:r>
      <w:r w:rsidRPr="000F75ED">
        <w:t>ГЛОБАЛТРАК МЕНЕДЖМЕНТ» (MOEX: GTRK,</w:t>
      </w:r>
      <w:r w:rsidR="00BE7120" w:rsidRPr="000F75ED">
        <w:t xml:space="preserve"> </w:t>
      </w:r>
      <w:r w:rsidRPr="000F75ED">
        <w:t>далее Globaltruck</w:t>
      </w:r>
      <w:r w:rsidR="000F75ED" w:rsidRPr="000F75ED">
        <w:t>, Глобалтрак</w:t>
      </w:r>
      <w:r w:rsidRPr="000F75ED">
        <w:t xml:space="preserve"> или Группа), один из крупнейших автомобильных грузовых FTL-перевозчиков России, объявляет консолидирован</w:t>
      </w:r>
      <w:r w:rsidR="002E362D" w:rsidRPr="000F75ED">
        <w:t xml:space="preserve">ные финансовые результаты за </w:t>
      </w:r>
      <w:r w:rsidR="00986D9E" w:rsidRPr="000F75ED">
        <w:t>12</w:t>
      </w:r>
      <w:r w:rsidR="002E362D" w:rsidRPr="000F75ED">
        <w:t xml:space="preserve"> месяцев 20</w:t>
      </w:r>
      <w:r w:rsidR="00FE496E" w:rsidRPr="000F75ED">
        <w:t>21</w:t>
      </w:r>
      <w:r w:rsidRPr="000F75ED">
        <w:t xml:space="preserve"> год</w:t>
      </w:r>
      <w:r w:rsidR="00FE496E" w:rsidRPr="000F75ED">
        <w:t>а</w:t>
      </w:r>
      <w:r w:rsidRPr="000F75ED">
        <w:t xml:space="preserve"> по международным стандартам финансовой отчетности (МСФО).</w:t>
      </w:r>
    </w:p>
    <w:p w:rsidR="00014684" w:rsidRPr="008D57B9" w:rsidRDefault="00A81EF6" w:rsidP="00B26076">
      <w:pPr>
        <w:pStyle w:val="ListParagraph"/>
        <w:numPr>
          <w:ilvl w:val="0"/>
          <w:numId w:val="1"/>
        </w:numPr>
        <w:tabs>
          <w:tab w:val="left" w:pos="661"/>
          <w:tab w:val="left" w:pos="662"/>
        </w:tabs>
        <w:spacing w:before="124" w:line="237" w:lineRule="auto"/>
        <w:ind w:left="661" w:right="183"/>
        <w:jc w:val="both"/>
      </w:pPr>
      <w:r>
        <w:t xml:space="preserve">Выручка </w:t>
      </w:r>
      <w:r w:rsidR="00C85D38">
        <w:t xml:space="preserve">за </w:t>
      </w:r>
      <w:r w:rsidR="00986D9E">
        <w:t>12</w:t>
      </w:r>
      <w:r w:rsidR="00C85D38">
        <w:t xml:space="preserve"> месяцев</w:t>
      </w:r>
      <w:r w:rsidR="002E362D">
        <w:t xml:space="preserve"> 202</w:t>
      </w:r>
      <w:r w:rsidR="00AB3B28">
        <w:t>1</w:t>
      </w:r>
      <w:r>
        <w:t xml:space="preserve"> году увеличилась на</w:t>
      </w:r>
      <w:r w:rsidR="00126792" w:rsidRPr="00126792">
        <w:t xml:space="preserve"> 23</w:t>
      </w:r>
      <w:r w:rsidR="00126792">
        <w:t>,</w:t>
      </w:r>
      <w:r w:rsidR="00126792" w:rsidRPr="00126792">
        <w:t>9</w:t>
      </w:r>
      <w:r w:rsidR="00E47533">
        <w:t>%, до 12,4</w:t>
      </w:r>
      <w:r>
        <w:t xml:space="preserve"> млрд руб., </w:t>
      </w:r>
      <w:r w:rsidRPr="008D57B9">
        <w:t xml:space="preserve">благодаря </w:t>
      </w:r>
      <w:r w:rsidR="002E362D" w:rsidRPr="008D57B9">
        <w:t>росту выручки от экспедиторских услуг;</w:t>
      </w:r>
    </w:p>
    <w:p w:rsidR="00014684" w:rsidRDefault="00A81EF6" w:rsidP="00B26076">
      <w:pPr>
        <w:pStyle w:val="ListParagraph"/>
        <w:numPr>
          <w:ilvl w:val="0"/>
          <w:numId w:val="1"/>
        </w:numPr>
        <w:tabs>
          <w:tab w:val="left" w:pos="661"/>
          <w:tab w:val="left" w:pos="662"/>
        </w:tabs>
        <w:spacing w:before="122"/>
        <w:ind w:left="661"/>
        <w:jc w:val="both"/>
      </w:pPr>
      <w:r w:rsidRPr="00841C23">
        <w:t>Показатель скорректированная EBITDA по итогам</w:t>
      </w:r>
      <w:r w:rsidR="00DC5CDC" w:rsidRPr="00DC5CDC">
        <w:t xml:space="preserve"> </w:t>
      </w:r>
      <w:r w:rsidR="00DC5CDC">
        <w:t>202</w:t>
      </w:r>
      <w:r w:rsidR="00AB3B28">
        <w:t>1</w:t>
      </w:r>
      <w:r w:rsidRPr="00841C23">
        <w:t xml:space="preserve"> года </w:t>
      </w:r>
      <w:r w:rsidR="00FE496E">
        <w:t>вырос</w:t>
      </w:r>
      <w:r w:rsidR="00841C23" w:rsidRPr="00841C23">
        <w:t xml:space="preserve"> </w:t>
      </w:r>
      <w:r w:rsidR="00D40E2C">
        <w:t xml:space="preserve">на </w:t>
      </w:r>
      <w:r w:rsidR="00B44A24">
        <w:t>9,7</w:t>
      </w:r>
      <w:r w:rsidRPr="00841C23">
        <w:t>%</w:t>
      </w:r>
      <w:r w:rsidR="00DE5720">
        <w:t xml:space="preserve"> и составил</w:t>
      </w:r>
      <w:r w:rsidR="004A56AD" w:rsidRPr="004A56AD">
        <w:t xml:space="preserve">                              </w:t>
      </w:r>
      <w:r w:rsidR="00B44A24">
        <w:t xml:space="preserve"> 1 064</w:t>
      </w:r>
      <w:r w:rsidR="00FE496E">
        <w:t xml:space="preserve"> </w:t>
      </w:r>
      <w:r w:rsidRPr="00841C23">
        <w:t>млн руб.</w:t>
      </w:r>
      <w:r w:rsidR="00EE3B46">
        <w:t>;</w:t>
      </w:r>
      <w:r w:rsidR="00AB3B28">
        <w:t xml:space="preserve"> </w:t>
      </w:r>
    </w:p>
    <w:p w:rsidR="00B26076" w:rsidRPr="00841C23" w:rsidRDefault="00B26076" w:rsidP="00B26076">
      <w:pPr>
        <w:pStyle w:val="ListParagraph"/>
        <w:numPr>
          <w:ilvl w:val="0"/>
          <w:numId w:val="1"/>
        </w:numPr>
        <w:tabs>
          <w:tab w:val="left" w:pos="661"/>
          <w:tab w:val="left" w:pos="662"/>
        </w:tabs>
        <w:ind w:left="661" w:right="186"/>
        <w:jc w:val="both"/>
      </w:pPr>
      <w:r>
        <w:t>Чистая прибыль за период составила 191 млн</w:t>
      </w:r>
      <w:r w:rsidRPr="00C4546F">
        <w:t xml:space="preserve"> </w:t>
      </w:r>
      <w:r>
        <w:t xml:space="preserve">руб. и увеличилась на </w:t>
      </w:r>
      <w:r w:rsidR="00390FD0" w:rsidRPr="00390FD0">
        <w:t>124</w:t>
      </w:r>
      <w:r w:rsidR="00390FD0">
        <w:t>,5 млн руб.</w:t>
      </w:r>
      <w:r>
        <w:t xml:space="preserve"> по сравнению с годом ранее.</w:t>
      </w:r>
    </w:p>
    <w:p w:rsidR="00217CDB" w:rsidRDefault="00217CDB" w:rsidP="00E47533">
      <w:pPr>
        <w:pStyle w:val="ListParagraph"/>
        <w:tabs>
          <w:tab w:val="left" w:pos="661"/>
          <w:tab w:val="left" w:pos="662"/>
        </w:tabs>
        <w:ind w:right="186" w:firstLine="0"/>
        <w:jc w:val="both"/>
      </w:pPr>
    </w:p>
    <w:p w:rsidR="00AB3B28" w:rsidRDefault="008D57B9" w:rsidP="00E47533">
      <w:pPr>
        <w:pStyle w:val="Heading1"/>
        <w:spacing w:before="120"/>
        <w:jc w:val="both"/>
        <w:rPr>
          <w:i/>
        </w:rPr>
      </w:pPr>
      <w:r w:rsidRPr="00D57185">
        <w:rPr>
          <w:i/>
        </w:rPr>
        <w:t>Илья Саттаров, генеральный директор Globaltruck, отметил:</w:t>
      </w:r>
    </w:p>
    <w:p w:rsidR="0036102F" w:rsidRDefault="0036102F" w:rsidP="0036102F">
      <w:pPr>
        <w:spacing w:before="120"/>
        <w:ind w:left="301"/>
        <w:jc w:val="both"/>
        <w:rPr>
          <w:i/>
        </w:rPr>
      </w:pPr>
      <w:r>
        <w:rPr>
          <w:i/>
        </w:rPr>
        <w:t xml:space="preserve">В 2021 году рынок грузоперевозок </w:t>
      </w:r>
      <w:r w:rsidR="00390FD0">
        <w:rPr>
          <w:i/>
        </w:rPr>
        <w:t xml:space="preserve">показал </w:t>
      </w:r>
      <w:r>
        <w:rPr>
          <w:i/>
        </w:rPr>
        <w:t>активный рост после замедления предыдущего года, вызванного</w:t>
      </w:r>
      <w:r w:rsidRPr="00EF6E3A">
        <w:rPr>
          <w:i/>
        </w:rPr>
        <w:t xml:space="preserve"> </w:t>
      </w:r>
      <w:r>
        <w:rPr>
          <w:i/>
        </w:rPr>
        <w:t xml:space="preserve">влиянием </w:t>
      </w:r>
      <w:r>
        <w:rPr>
          <w:i/>
          <w:lang w:val="en-US"/>
        </w:rPr>
        <w:t>COVID</w:t>
      </w:r>
      <w:r w:rsidRPr="00EF6E3A">
        <w:rPr>
          <w:i/>
        </w:rPr>
        <w:t>-19</w:t>
      </w:r>
      <w:r>
        <w:rPr>
          <w:i/>
        </w:rPr>
        <w:t>.</w:t>
      </w:r>
    </w:p>
    <w:p w:rsidR="0036102F" w:rsidRDefault="00D10E34" w:rsidP="000F75ED">
      <w:pPr>
        <w:spacing w:before="120"/>
        <w:ind w:left="301"/>
        <w:jc w:val="both"/>
        <w:rPr>
          <w:i/>
        </w:rPr>
      </w:pPr>
      <w:r>
        <w:rPr>
          <w:i/>
        </w:rPr>
        <w:t>К</w:t>
      </w:r>
      <w:r w:rsidR="0036102F">
        <w:rPr>
          <w:i/>
        </w:rPr>
        <w:t>омпания успешно отработала 2021 год, несмотря на давление внешних факторов: роста стоимости топлива</w:t>
      </w:r>
      <w:r w:rsidR="00EE3B46">
        <w:rPr>
          <w:i/>
        </w:rPr>
        <w:t xml:space="preserve">, дефицита водителей, </w:t>
      </w:r>
      <w:r w:rsidR="00390FD0">
        <w:rPr>
          <w:i/>
        </w:rPr>
        <w:t>отложенного</w:t>
      </w:r>
      <w:r w:rsidR="0036102F">
        <w:rPr>
          <w:i/>
        </w:rPr>
        <w:t xml:space="preserve"> рост</w:t>
      </w:r>
      <w:r w:rsidR="00EE3B46">
        <w:rPr>
          <w:i/>
        </w:rPr>
        <w:t>а</w:t>
      </w:r>
      <w:r w:rsidR="0036102F">
        <w:rPr>
          <w:i/>
        </w:rPr>
        <w:t xml:space="preserve"> стоимости ставок на грузоперевозки.</w:t>
      </w:r>
      <w:r w:rsidR="0036102F" w:rsidRPr="00172033">
        <w:rPr>
          <w:i/>
        </w:rPr>
        <w:t xml:space="preserve"> </w:t>
      </w:r>
      <w:r w:rsidR="000F75ED">
        <w:rPr>
          <w:i/>
        </w:rPr>
        <w:t>В</w:t>
      </w:r>
      <w:r w:rsidR="0036102F" w:rsidRPr="00172033">
        <w:rPr>
          <w:i/>
        </w:rPr>
        <w:t xml:space="preserve">о всем сегменте FTL (очищенного от объемов бизнеса, где наша компания не представлена: насыпные, наливные, опасные грузы) доля Глобалтрак сейчас составляет </w:t>
      </w:r>
      <w:r w:rsidR="00EE3B46">
        <w:rPr>
          <w:i/>
        </w:rPr>
        <w:t xml:space="preserve">около </w:t>
      </w:r>
      <w:r w:rsidR="0036102F" w:rsidRPr="00172033">
        <w:rPr>
          <w:i/>
        </w:rPr>
        <w:t>2,5 %. Рынок п</w:t>
      </w:r>
      <w:r w:rsidR="00AE7009">
        <w:rPr>
          <w:i/>
        </w:rPr>
        <w:t>о-прежнему остается низкоконсолидированным</w:t>
      </w:r>
      <w:r w:rsidR="00390FD0">
        <w:rPr>
          <w:i/>
        </w:rPr>
        <w:t>, что открывает для нас широкие возможности.</w:t>
      </w:r>
      <w:r w:rsidR="0036102F" w:rsidRPr="00172033">
        <w:rPr>
          <w:i/>
        </w:rPr>
        <w:t xml:space="preserve"> </w:t>
      </w:r>
      <w:r w:rsidR="00EE3B46">
        <w:rPr>
          <w:i/>
        </w:rPr>
        <w:t xml:space="preserve">Текущий объем парка и </w:t>
      </w:r>
      <w:r w:rsidR="00390FD0">
        <w:rPr>
          <w:i/>
        </w:rPr>
        <w:t>показатели</w:t>
      </w:r>
      <w:r w:rsidR="00EE3B46">
        <w:rPr>
          <w:i/>
        </w:rPr>
        <w:t xml:space="preserve"> </w:t>
      </w:r>
      <w:r w:rsidR="00390FD0">
        <w:rPr>
          <w:i/>
        </w:rPr>
        <w:t xml:space="preserve">деятельности </w:t>
      </w:r>
      <w:r w:rsidR="0036102F" w:rsidRPr="00172033">
        <w:rPr>
          <w:i/>
        </w:rPr>
        <w:t>в</w:t>
      </w:r>
      <w:r w:rsidR="00EE3B46">
        <w:rPr>
          <w:i/>
        </w:rPr>
        <w:t>ы</w:t>
      </w:r>
      <w:r w:rsidR="0036102F" w:rsidRPr="00172033">
        <w:rPr>
          <w:i/>
        </w:rPr>
        <w:t>водят Глобалтрак</w:t>
      </w:r>
      <w:r w:rsidR="00390FD0">
        <w:rPr>
          <w:i/>
        </w:rPr>
        <w:t>, по нашей оценке,</w:t>
      </w:r>
      <w:r w:rsidR="0036102F" w:rsidRPr="00172033">
        <w:rPr>
          <w:i/>
        </w:rPr>
        <w:t xml:space="preserve"> в</w:t>
      </w:r>
      <w:r w:rsidR="00EE3B46">
        <w:rPr>
          <w:i/>
        </w:rPr>
        <w:t xml:space="preserve"> число ТОП-</w:t>
      </w:r>
      <w:r w:rsidR="0036102F" w:rsidRPr="00172033">
        <w:rPr>
          <w:i/>
        </w:rPr>
        <w:t>5 крупнейших игроков рынка.</w:t>
      </w:r>
      <w:r w:rsidR="00AE7009">
        <w:rPr>
          <w:i/>
        </w:rPr>
        <w:t xml:space="preserve"> </w:t>
      </w:r>
      <w:r w:rsidR="0036102F">
        <w:rPr>
          <w:i/>
        </w:rPr>
        <w:t>В 2021 б</w:t>
      </w:r>
      <w:r w:rsidR="0036102F" w:rsidRPr="00172033">
        <w:rPr>
          <w:i/>
        </w:rPr>
        <w:t xml:space="preserve">ыл дан </w:t>
      </w:r>
      <w:r w:rsidR="0036102F">
        <w:rPr>
          <w:i/>
        </w:rPr>
        <w:t>старт изменению позиционирования</w:t>
      </w:r>
      <w:r w:rsidR="0036102F" w:rsidRPr="00172033">
        <w:rPr>
          <w:i/>
        </w:rPr>
        <w:t xml:space="preserve"> группы от текущего классического грузоперевозчика </w:t>
      </w:r>
      <w:r w:rsidR="00390FD0">
        <w:rPr>
          <w:i/>
        </w:rPr>
        <w:t>к цифровой компании-</w:t>
      </w:r>
      <w:r w:rsidR="0036102F" w:rsidRPr="00172033">
        <w:rPr>
          <w:i/>
        </w:rPr>
        <w:t>агрегатору, использующему микс-модель выполнения заказов как собственным транспортом, так и парком привлеченных партнеров.</w:t>
      </w:r>
      <w:r w:rsidR="000F75ED">
        <w:rPr>
          <w:i/>
        </w:rPr>
        <w:t xml:space="preserve"> В 2022 году Группа продолжит развивать данную стратегическую инициативу, при этом сохраняя текущий уровень дохода от перевозок собственным транспортом.</w:t>
      </w:r>
    </w:p>
    <w:p w:rsidR="004646B9" w:rsidRPr="004646B9" w:rsidRDefault="005A3DA6" w:rsidP="0036102F">
      <w:pPr>
        <w:spacing w:before="120"/>
        <w:ind w:left="301"/>
        <w:jc w:val="both"/>
        <w:rPr>
          <w:i/>
        </w:rPr>
      </w:pPr>
      <w:r>
        <w:rPr>
          <w:i/>
        </w:rPr>
        <w:t xml:space="preserve">  </w:t>
      </w:r>
    </w:p>
    <w:p w:rsidR="00014684" w:rsidRDefault="00A81EF6" w:rsidP="00E47533">
      <w:pPr>
        <w:pStyle w:val="Heading1"/>
        <w:spacing w:before="122"/>
        <w:jc w:val="both"/>
      </w:pPr>
      <w:r>
        <w:t xml:space="preserve">Ключевые </w:t>
      </w:r>
      <w:r w:rsidR="0036102F">
        <w:t>актив</w:t>
      </w:r>
      <w:r w:rsidR="00EE3B46">
        <w:t>ы</w:t>
      </w:r>
    </w:p>
    <w:p w:rsidR="00014684" w:rsidRDefault="00A81EF6" w:rsidP="00E47533">
      <w:pPr>
        <w:pStyle w:val="BodyText"/>
        <w:spacing w:before="118"/>
        <w:ind w:left="302"/>
        <w:jc w:val="both"/>
      </w:pPr>
      <w:r>
        <w:t>Общее количество тягачей в эксплуатации на конец</w:t>
      </w:r>
      <w:r w:rsidR="00BF45DC" w:rsidRPr="00BF45DC">
        <w:t xml:space="preserve"> </w:t>
      </w:r>
      <w:r w:rsidR="00BF45DC">
        <w:t>202</w:t>
      </w:r>
      <w:r w:rsidR="00AB3B28">
        <w:t>1</w:t>
      </w:r>
      <w:r>
        <w:t xml:space="preserve"> года </w:t>
      </w:r>
      <w:r w:rsidR="000567A1">
        <w:t>снизилось</w:t>
      </w:r>
      <w:r w:rsidR="005F7FA1">
        <w:t xml:space="preserve"> </w:t>
      </w:r>
      <w:r>
        <w:t xml:space="preserve">на </w:t>
      </w:r>
      <w:bookmarkStart w:id="0" w:name="_bookmark0"/>
      <w:bookmarkEnd w:id="0"/>
      <w:r w:rsidR="004A56AD">
        <w:t>2,5</w:t>
      </w:r>
      <w:r w:rsidR="00BB5222">
        <w:t xml:space="preserve"> %</w:t>
      </w:r>
      <w:r>
        <w:t xml:space="preserve"> или</w:t>
      </w:r>
      <w:r w:rsidR="00AA7662">
        <w:t xml:space="preserve"> 3</w:t>
      </w:r>
      <w:r w:rsidR="004A56AD">
        <w:t>3</w:t>
      </w:r>
      <w:r>
        <w:t xml:space="preserve"> единиц</w:t>
      </w:r>
      <w:r w:rsidR="00BF45DC">
        <w:rPr>
          <w:rFonts w:ascii="Garamond" w:hAnsi="Garamond"/>
          <w:sz w:val="14"/>
        </w:rPr>
        <w:t xml:space="preserve"> </w:t>
      </w:r>
      <w:r w:rsidR="00BF45DC">
        <w:t>– до</w:t>
      </w:r>
      <w:r w:rsidR="00E47533">
        <w:t xml:space="preserve"> </w:t>
      </w:r>
      <w:r w:rsidR="00BB5222">
        <w:t>1 </w:t>
      </w:r>
      <w:r w:rsidR="004A56AD">
        <w:t>270</w:t>
      </w:r>
      <w:r w:rsidR="00BB5222">
        <w:t xml:space="preserve"> </w:t>
      </w:r>
      <w:r>
        <w:t>единиц</w:t>
      </w:r>
      <w:r>
        <w:rPr>
          <w:rFonts w:ascii="Garamond" w:hAnsi="Garamond"/>
          <w:position w:val="5"/>
          <w:sz w:val="14"/>
        </w:rPr>
        <w:t xml:space="preserve"> </w:t>
      </w:r>
      <w:r>
        <w:t xml:space="preserve">против </w:t>
      </w:r>
      <w:r w:rsidR="00BB5222">
        <w:t>1 </w:t>
      </w:r>
      <w:r w:rsidR="00F84051">
        <w:t>303</w:t>
      </w:r>
      <w:r w:rsidR="00BB5222">
        <w:t xml:space="preserve"> </w:t>
      </w:r>
      <w:r>
        <w:t>единиц</w:t>
      </w:r>
      <w:r>
        <w:rPr>
          <w:rFonts w:ascii="Garamond" w:hAnsi="Garamond"/>
          <w:position w:val="5"/>
          <w:sz w:val="14"/>
        </w:rPr>
        <w:t xml:space="preserve"> </w:t>
      </w:r>
      <w:r w:rsidR="00C769E1">
        <w:t xml:space="preserve">на конец </w:t>
      </w:r>
      <w:r w:rsidR="00BF45DC">
        <w:t>20</w:t>
      </w:r>
      <w:r w:rsidR="00E47533">
        <w:t>20</w:t>
      </w:r>
      <w:r w:rsidR="00BF45DC">
        <w:t xml:space="preserve"> года</w:t>
      </w:r>
      <w:r w:rsidR="00F84051">
        <w:rPr>
          <w:color w:val="000000" w:themeColor="text1"/>
          <w:vertAlign w:val="superscript"/>
        </w:rPr>
        <w:t>1</w:t>
      </w:r>
      <w:r>
        <w:t xml:space="preserve">. Среднее количество тягачей в эксплуатации за год </w:t>
      </w:r>
      <w:r w:rsidR="000A21C0">
        <w:t xml:space="preserve">снизилось </w:t>
      </w:r>
      <w:r>
        <w:t xml:space="preserve">на </w:t>
      </w:r>
      <w:r w:rsidR="00E47533">
        <w:t xml:space="preserve">2,2 </w:t>
      </w:r>
      <w:r>
        <w:t>%</w:t>
      </w:r>
      <w:r w:rsidR="00C20853">
        <w:rPr>
          <w:color w:val="000000" w:themeColor="text1"/>
          <w:vertAlign w:val="superscript"/>
        </w:rPr>
        <w:t>1</w:t>
      </w:r>
      <w:hyperlink w:anchor="_bookmark0" w:history="1">
        <w:r>
          <w:t xml:space="preserve">, </w:t>
        </w:r>
      </w:hyperlink>
      <w:r>
        <w:t>с</w:t>
      </w:r>
      <w:r w:rsidR="00E47533">
        <w:t xml:space="preserve"> 1 313</w:t>
      </w:r>
      <w:r>
        <w:t xml:space="preserve"> единиц</w:t>
      </w:r>
      <w:hyperlink w:anchor="_bookmark0" w:history="1">
        <w:r>
          <w:rPr>
            <w:rFonts w:ascii="Garamond" w:hAnsi="Garamond"/>
            <w:position w:val="5"/>
            <w:sz w:val="14"/>
          </w:rPr>
          <w:t xml:space="preserve"> </w:t>
        </w:r>
      </w:hyperlink>
      <w:r w:rsidR="00BF45DC">
        <w:t>в 20</w:t>
      </w:r>
      <w:r w:rsidR="00AB3B28">
        <w:t>20</w:t>
      </w:r>
      <w:r>
        <w:t xml:space="preserve"> году до 1 </w:t>
      </w:r>
      <w:r w:rsidR="00E47533">
        <w:t>284</w:t>
      </w:r>
      <w:r>
        <w:t xml:space="preserve"> единиц</w:t>
      </w:r>
      <w:hyperlink w:anchor="_bookmark0" w:history="1">
        <w:r>
          <w:rPr>
            <w:rFonts w:ascii="Garamond" w:hAnsi="Garamond"/>
            <w:position w:val="5"/>
            <w:sz w:val="14"/>
          </w:rPr>
          <w:t xml:space="preserve"> </w:t>
        </w:r>
      </w:hyperlink>
      <w:r w:rsidR="00BF45DC">
        <w:t>в 202</w:t>
      </w:r>
      <w:r w:rsidR="00AB3B28">
        <w:t>1</w:t>
      </w:r>
      <w:r>
        <w:t xml:space="preserve"> году.</w:t>
      </w:r>
      <w:r w:rsidR="00390FD0">
        <w:t xml:space="preserve"> При этом</w:t>
      </w:r>
      <w:r w:rsidR="000F75ED">
        <w:t xml:space="preserve"> благодаря</w:t>
      </w:r>
      <w:r w:rsidR="00390FD0">
        <w:t xml:space="preserve"> </w:t>
      </w:r>
      <w:r w:rsidR="000F75ED">
        <w:t xml:space="preserve">росту производительности, на который был направлен фокус Группы в течение </w:t>
      </w:r>
      <w:r w:rsidR="00AE7009">
        <w:t>года, среднемесячный</w:t>
      </w:r>
      <w:r w:rsidR="00055633">
        <w:t xml:space="preserve"> пробег на 1 тягач по итогам 2021 года составил 17,3 </w:t>
      </w:r>
      <w:r w:rsidR="00AE7009">
        <w:t>тыс. км</w:t>
      </w:r>
      <w:r w:rsidR="00055633">
        <w:t>.</w:t>
      </w:r>
      <w:r w:rsidR="00390FD0">
        <w:t xml:space="preserve"> </w:t>
      </w:r>
    </w:p>
    <w:p w:rsidR="00E47533" w:rsidRDefault="00E47533" w:rsidP="0036102F">
      <w:pPr>
        <w:pStyle w:val="Heading1"/>
        <w:spacing w:before="121"/>
        <w:ind w:left="0"/>
        <w:jc w:val="both"/>
      </w:pPr>
    </w:p>
    <w:p w:rsidR="00055633" w:rsidRDefault="00055633" w:rsidP="0036102F">
      <w:pPr>
        <w:pStyle w:val="Heading1"/>
        <w:spacing w:before="121"/>
        <w:ind w:left="0"/>
        <w:jc w:val="both"/>
      </w:pPr>
    </w:p>
    <w:p w:rsidR="00217CDB" w:rsidRDefault="00217CDB" w:rsidP="00E47533">
      <w:pPr>
        <w:pStyle w:val="Heading1"/>
        <w:spacing w:before="121"/>
        <w:jc w:val="both"/>
      </w:pPr>
      <w:r>
        <w:t>Выручка</w:t>
      </w:r>
    </w:p>
    <w:p w:rsidR="00217CDB" w:rsidRDefault="00217CDB" w:rsidP="00C20853">
      <w:pPr>
        <w:pStyle w:val="BodyText"/>
        <w:spacing w:before="120"/>
        <w:ind w:left="302"/>
        <w:jc w:val="both"/>
      </w:pPr>
      <w:r>
        <w:t xml:space="preserve">Выручка Группы </w:t>
      </w:r>
      <w:r w:rsidR="00943E85">
        <w:t xml:space="preserve">за </w:t>
      </w:r>
      <w:r w:rsidR="008453DB">
        <w:t>12</w:t>
      </w:r>
      <w:r w:rsidR="00943E85">
        <w:t xml:space="preserve"> месяцев</w:t>
      </w:r>
      <w:r>
        <w:t xml:space="preserve"> 202</w:t>
      </w:r>
      <w:r w:rsidR="00DB113E">
        <w:t>1</w:t>
      </w:r>
      <w:r>
        <w:t xml:space="preserve"> год</w:t>
      </w:r>
      <w:r w:rsidR="008453DB">
        <w:t>а</w:t>
      </w:r>
      <w:r>
        <w:t xml:space="preserve"> выросла на</w:t>
      </w:r>
      <w:r w:rsidR="00C20853">
        <w:t xml:space="preserve"> 23,9</w:t>
      </w:r>
      <w:r>
        <w:t xml:space="preserve"> % – </w:t>
      </w:r>
      <w:r w:rsidR="00BE7120">
        <w:t xml:space="preserve"> </w:t>
      </w:r>
      <w:r>
        <w:t>до</w:t>
      </w:r>
      <w:r w:rsidR="00C20853">
        <w:t xml:space="preserve"> 12,4 </w:t>
      </w:r>
      <w:r>
        <w:t xml:space="preserve">млрд руб., по сравнению с </w:t>
      </w:r>
      <w:r w:rsidR="00C20853">
        <w:t xml:space="preserve">           10 </w:t>
      </w:r>
      <w:r>
        <w:t xml:space="preserve">млрд руб. </w:t>
      </w:r>
      <w:r w:rsidR="00943E85">
        <w:t xml:space="preserve">за </w:t>
      </w:r>
      <w:r w:rsidR="008453DB">
        <w:t>сопоставимый период</w:t>
      </w:r>
      <w:r>
        <w:t xml:space="preserve"> 20</w:t>
      </w:r>
      <w:r w:rsidR="00DB113E">
        <w:t>20</w:t>
      </w:r>
      <w:r>
        <w:t xml:space="preserve"> года.</w:t>
      </w:r>
    </w:p>
    <w:p w:rsidR="00894FD0" w:rsidRDefault="00894FD0" w:rsidP="00C20853">
      <w:pPr>
        <w:pStyle w:val="BodyText"/>
        <w:spacing w:before="120"/>
        <w:ind w:left="302"/>
        <w:jc w:val="both"/>
      </w:pPr>
      <w:r w:rsidRPr="00894FD0">
        <w:t>Группа показа</w:t>
      </w:r>
      <w:r w:rsidR="00EE3B46">
        <w:t xml:space="preserve">ла рост выручки главным образом </w:t>
      </w:r>
      <w:r w:rsidR="00EE3B46" w:rsidRPr="00894FD0">
        <w:t>за</w:t>
      </w:r>
      <w:r w:rsidRPr="00894FD0">
        <w:t xml:space="preserve"> счет развития экспедиционной Asset Light </w:t>
      </w:r>
      <w:r w:rsidR="00EE3B46" w:rsidRPr="00894FD0">
        <w:t>модели -</w:t>
      </w:r>
      <w:r w:rsidRPr="00894FD0">
        <w:t xml:space="preserve"> </w:t>
      </w:r>
      <w:r w:rsidR="00EE3B46">
        <w:t xml:space="preserve">в этом сегменте </w:t>
      </w:r>
      <w:r>
        <w:t xml:space="preserve">рост выручки </w:t>
      </w:r>
      <w:r w:rsidR="00EE3B46">
        <w:t xml:space="preserve">был </w:t>
      </w:r>
      <w:r w:rsidRPr="00894FD0">
        <w:t>более чем</w:t>
      </w:r>
      <w:r w:rsidR="009F60D7">
        <w:t xml:space="preserve"> в 2 раза, с 1,</w:t>
      </w:r>
      <w:r w:rsidRPr="00894FD0">
        <w:t>5 мл</w:t>
      </w:r>
      <w:r w:rsidR="009F60D7">
        <w:t>рд руб. до 3,4 млрд</w:t>
      </w:r>
      <w:r w:rsidRPr="00894FD0">
        <w:t xml:space="preserve"> руб. Такой рост стал возможным благодар</w:t>
      </w:r>
      <w:r w:rsidR="00EE3B46">
        <w:t>я запуску цифровой платформы GT</w:t>
      </w:r>
      <w:r w:rsidRPr="00894FD0">
        <w:t>2, которую разрабатывает IT-команда Группы.</w:t>
      </w:r>
    </w:p>
    <w:p w:rsidR="00217CDB" w:rsidRDefault="00217CDB" w:rsidP="00E47533">
      <w:pPr>
        <w:pStyle w:val="BodyText"/>
        <w:spacing w:before="121"/>
        <w:ind w:left="302" w:right="182"/>
        <w:jc w:val="both"/>
      </w:pPr>
      <w:r>
        <w:t xml:space="preserve">Выручка от оказания услуг </w:t>
      </w:r>
      <w:r w:rsidR="004170BA">
        <w:t>собственным парком</w:t>
      </w:r>
      <w:r>
        <w:t xml:space="preserve"> в 202</w:t>
      </w:r>
      <w:r w:rsidR="00DB113E">
        <w:t>1</w:t>
      </w:r>
      <w:r>
        <w:t xml:space="preserve"> году </w:t>
      </w:r>
      <w:r w:rsidR="004679FB">
        <w:t xml:space="preserve">выросла </w:t>
      </w:r>
      <w:r>
        <w:t>на</w:t>
      </w:r>
      <w:r w:rsidR="00C20853">
        <w:t xml:space="preserve"> 481</w:t>
      </w:r>
      <w:r>
        <w:t xml:space="preserve"> млн руб. или</w:t>
      </w:r>
      <w:r>
        <w:rPr>
          <w:spacing w:val="-2"/>
        </w:rPr>
        <w:t xml:space="preserve"> </w:t>
      </w:r>
      <w:r>
        <w:t>на</w:t>
      </w:r>
      <w:r>
        <w:rPr>
          <w:spacing w:val="-6"/>
        </w:rPr>
        <w:t xml:space="preserve"> </w:t>
      </w:r>
      <w:r w:rsidR="00C20853">
        <w:rPr>
          <w:spacing w:val="-6"/>
        </w:rPr>
        <w:t xml:space="preserve">5,6 </w:t>
      </w:r>
      <w:r>
        <w:t>%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до</w:t>
      </w:r>
      <w:r>
        <w:rPr>
          <w:spacing w:val="-2"/>
        </w:rPr>
        <w:t xml:space="preserve"> </w:t>
      </w:r>
      <w:r w:rsidR="00C20853">
        <w:rPr>
          <w:spacing w:val="-2"/>
        </w:rPr>
        <w:t>9</w:t>
      </w:r>
      <w:r>
        <w:rPr>
          <w:spacing w:val="-2"/>
        </w:rPr>
        <w:t xml:space="preserve"> </w:t>
      </w:r>
      <w:r>
        <w:t>млрд</w:t>
      </w:r>
      <w:r>
        <w:rPr>
          <w:spacing w:val="-4"/>
        </w:rPr>
        <w:t xml:space="preserve"> </w:t>
      </w:r>
      <w:r>
        <w:t>руб.</w:t>
      </w:r>
      <w:r>
        <w:rPr>
          <w:spacing w:val="-4"/>
        </w:rPr>
        <w:t xml:space="preserve"> </w:t>
      </w:r>
      <w:r w:rsidR="004170BA">
        <w:rPr>
          <w:spacing w:val="-4"/>
        </w:rPr>
        <w:t xml:space="preserve">Данный </w:t>
      </w:r>
      <w:r>
        <w:t>показатель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расчете</w:t>
      </w:r>
      <w:r>
        <w:rPr>
          <w:spacing w:val="-3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один</w:t>
      </w:r>
      <w:r>
        <w:rPr>
          <w:spacing w:val="-3"/>
        </w:rPr>
        <w:t xml:space="preserve"> </w:t>
      </w:r>
      <w:r>
        <w:t>тягач</w:t>
      </w:r>
      <w:r>
        <w:rPr>
          <w:spacing w:val="-5"/>
        </w:rPr>
        <w:t xml:space="preserve"> </w:t>
      </w:r>
      <w:r>
        <w:t>вырос</w:t>
      </w:r>
      <w:r>
        <w:rPr>
          <w:spacing w:val="-2"/>
        </w:rPr>
        <w:t xml:space="preserve"> </w:t>
      </w:r>
      <w:r>
        <w:t>на</w:t>
      </w:r>
      <w:r w:rsidR="00C20853">
        <w:t xml:space="preserve"> 8</w:t>
      </w:r>
      <w:r>
        <w:t>%</w:t>
      </w:r>
      <w:r>
        <w:rPr>
          <w:vertAlign w:val="superscript"/>
        </w:rPr>
        <w:t>1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достиг</w:t>
      </w:r>
      <w:r>
        <w:rPr>
          <w:spacing w:val="-5"/>
        </w:rPr>
        <w:t xml:space="preserve"> </w:t>
      </w:r>
      <w:r w:rsidR="00C20853">
        <w:rPr>
          <w:spacing w:val="-5"/>
        </w:rPr>
        <w:t>7</w:t>
      </w:r>
      <w:r>
        <w:t xml:space="preserve"> млн руб.</w:t>
      </w:r>
      <w:r>
        <w:rPr>
          <w:vertAlign w:val="superscript"/>
        </w:rPr>
        <w:t>1</w:t>
      </w:r>
      <w:r w:rsidR="00C20853">
        <w:t xml:space="preserve"> по сравнению с 6,49 </w:t>
      </w:r>
      <w:r>
        <w:t>млн руб.</w:t>
      </w:r>
      <w:r>
        <w:rPr>
          <w:vertAlign w:val="superscript"/>
        </w:rPr>
        <w:t>1</w:t>
      </w:r>
      <w:r>
        <w:t xml:space="preserve"> </w:t>
      </w:r>
      <w:r w:rsidR="004679FB">
        <w:t>в</w:t>
      </w:r>
      <w:r w:rsidR="00943E85">
        <w:t xml:space="preserve"> </w:t>
      </w:r>
      <w:r>
        <w:t>20</w:t>
      </w:r>
      <w:r w:rsidR="00DB113E">
        <w:t>20</w:t>
      </w:r>
      <w:r>
        <w:rPr>
          <w:spacing w:val="-7"/>
        </w:rPr>
        <w:t xml:space="preserve"> </w:t>
      </w:r>
      <w:r>
        <w:t>год</w:t>
      </w:r>
      <w:r w:rsidR="004679FB">
        <w:t>у</w:t>
      </w:r>
      <w:r>
        <w:t>.</w:t>
      </w:r>
    </w:p>
    <w:p w:rsidR="0036102F" w:rsidRDefault="0036102F" w:rsidP="0036102F">
      <w:pPr>
        <w:pStyle w:val="BodyText"/>
        <w:spacing w:before="118"/>
        <w:ind w:left="302"/>
        <w:jc w:val="both"/>
      </w:pPr>
      <w:r w:rsidRPr="00321B44">
        <w:t>Одной из главных стратегических инициатив на будущее является дальнейший рост</w:t>
      </w:r>
      <w:r w:rsidRPr="00DC71C1">
        <w:t xml:space="preserve"> доли A</w:t>
      </w:r>
      <w:r w:rsidR="00EE3B46">
        <w:rPr>
          <w:lang w:val="en-US"/>
        </w:rPr>
        <w:t>sset</w:t>
      </w:r>
      <w:r w:rsidR="00EE3B46" w:rsidRPr="00EE3B46">
        <w:t xml:space="preserve"> </w:t>
      </w:r>
      <w:r w:rsidRPr="00DC71C1">
        <w:t>L</w:t>
      </w:r>
      <w:r w:rsidR="00EE3B46">
        <w:rPr>
          <w:lang w:val="en-US"/>
        </w:rPr>
        <w:t>ight</w:t>
      </w:r>
      <w:r w:rsidR="00EE3B46" w:rsidRPr="00EE3B46">
        <w:t xml:space="preserve"> </w:t>
      </w:r>
      <w:r w:rsidRPr="00DC71C1">
        <w:t>в структуре доходного портфеля Группы.</w:t>
      </w:r>
    </w:p>
    <w:p w:rsidR="00217CDB" w:rsidRDefault="00217CDB" w:rsidP="00E47533">
      <w:pPr>
        <w:pStyle w:val="Heading1"/>
        <w:spacing w:before="120"/>
        <w:jc w:val="both"/>
      </w:pPr>
      <w:r>
        <w:t>Затраты и EBITDA</w:t>
      </w:r>
    </w:p>
    <w:p w:rsidR="003D40CA" w:rsidRDefault="00D04C81" w:rsidP="009F60D7">
      <w:pPr>
        <w:pStyle w:val="Heading1"/>
        <w:spacing w:before="120"/>
        <w:jc w:val="both"/>
      </w:pPr>
      <w:r w:rsidRPr="0096718D">
        <w:rPr>
          <w:b w:val="0"/>
        </w:rPr>
        <w:t xml:space="preserve">В течение 2021 года большинство крупных транспортных компаний столкнулись с проблемой дефицита водителей, что потребовало несколько раз проводить индексацию заработной платы водительскому составу, чтобы избежать оттока профессиональных кадров в другие отрасли. </w:t>
      </w:r>
      <w:r w:rsidR="00EE3B46">
        <w:rPr>
          <w:b w:val="0"/>
        </w:rPr>
        <w:t>В</w:t>
      </w:r>
      <w:r w:rsidRPr="0096718D">
        <w:rPr>
          <w:b w:val="0"/>
        </w:rPr>
        <w:t>есь прошлый год продолжился рост стоимости топлива и запасных частей.</w:t>
      </w:r>
    </w:p>
    <w:p w:rsidR="00D04C81" w:rsidRDefault="00B121E5" w:rsidP="00B121E5">
      <w:pPr>
        <w:pStyle w:val="BodyText"/>
        <w:spacing w:before="121"/>
        <w:ind w:left="302" w:right="182"/>
        <w:jc w:val="both"/>
      </w:pPr>
      <w:r w:rsidRPr="003D40CA">
        <w:t xml:space="preserve">Основными факторами </w:t>
      </w:r>
      <w:r>
        <w:t>роста</w:t>
      </w:r>
      <w:r w:rsidR="00055633">
        <w:t xml:space="preserve"> затрат</w:t>
      </w:r>
      <w:r>
        <w:t xml:space="preserve"> являются</w:t>
      </w:r>
      <w:r w:rsidRPr="003D40CA">
        <w:t xml:space="preserve">: увеличение расходов на экспедиторские услуги; </w:t>
      </w:r>
      <w:r w:rsidRPr="0007257A">
        <w:t xml:space="preserve">рост </w:t>
      </w:r>
      <w:r>
        <w:t>заработной платы водителей на 15,2 %</w:t>
      </w:r>
      <w:r w:rsidRPr="002C06B6">
        <w:t>;</w:t>
      </w:r>
      <w:r>
        <w:t xml:space="preserve"> рост дорожных расходов на 11,8 </w:t>
      </w:r>
      <w:r w:rsidRPr="0007257A">
        <w:t>%. Рост дорожных расходов отчасти вызван увеличением платы за движение по федеральны</w:t>
      </w:r>
      <w:r>
        <w:t>м трассам по системе Платон на 6,4 % от уровня 2020 года</w:t>
      </w:r>
      <w:r w:rsidRPr="0007257A">
        <w:t>.</w:t>
      </w:r>
    </w:p>
    <w:p w:rsidR="009F60D7" w:rsidRPr="00AA4D36" w:rsidRDefault="009F60D7" w:rsidP="00B121E5">
      <w:pPr>
        <w:pStyle w:val="BodyText"/>
        <w:spacing w:before="121"/>
        <w:ind w:left="302" w:right="182"/>
        <w:jc w:val="both"/>
      </w:pPr>
      <w:r>
        <w:t>В итоге с</w:t>
      </w:r>
      <w:r w:rsidRPr="00E06F76">
        <w:t>ебестоимость</w:t>
      </w:r>
      <w:r w:rsidRPr="003D40CA">
        <w:t xml:space="preserve"> </w:t>
      </w:r>
      <w:r w:rsidRPr="00E06F76">
        <w:t>продаж</w:t>
      </w:r>
      <w:r w:rsidRPr="003D40CA">
        <w:t xml:space="preserve"> </w:t>
      </w:r>
      <w:r w:rsidRPr="00E06F76">
        <w:t>Группы</w:t>
      </w:r>
      <w:r w:rsidRPr="003D40CA">
        <w:t xml:space="preserve"> </w:t>
      </w:r>
      <w:r w:rsidRPr="00E06F76">
        <w:t>в</w:t>
      </w:r>
      <w:r w:rsidRPr="003D40CA">
        <w:t xml:space="preserve"> </w:t>
      </w:r>
      <w:r>
        <w:t>2021</w:t>
      </w:r>
      <w:r w:rsidRPr="003D40CA">
        <w:t xml:space="preserve"> </w:t>
      </w:r>
      <w:r w:rsidRPr="00E06F76">
        <w:t>году</w:t>
      </w:r>
      <w:r w:rsidRPr="003D40CA">
        <w:t xml:space="preserve"> </w:t>
      </w:r>
      <w:r w:rsidRPr="00E06F76">
        <w:t>выросла</w:t>
      </w:r>
      <w:r w:rsidRPr="003D40CA">
        <w:t xml:space="preserve"> </w:t>
      </w:r>
      <w:r w:rsidRPr="00E06F76">
        <w:t>на</w:t>
      </w:r>
      <w:r w:rsidRPr="003D40CA">
        <w:t xml:space="preserve"> </w:t>
      </w:r>
      <w:r>
        <w:t xml:space="preserve">23,3 </w:t>
      </w:r>
      <w:r w:rsidRPr="00E06F76">
        <w:t>%</w:t>
      </w:r>
      <w:r w:rsidRPr="003D40CA">
        <w:t xml:space="preserve"> </w:t>
      </w:r>
      <w:r w:rsidRPr="00E06F76">
        <w:t>–</w:t>
      </w:r>
      <w:r w:rsidRPr="003D40CA">
        <w:t xml:space="preserve"> </w:t>
      </w:r>
      <w:r w:rsidRPr="00E06F76">
        <w:t>до</w:t>
      </w:r>
      <w:r w:rsidRPr="003D40CA">
        <w:t xml:space="preserve"> </w:t>
      </w:r>
      <w:r>
        <w:t>10,8</w:t>
      </w:r>
      <w:r w:rsidRPr="003D40CA">
        <w:t xml:space="preserve"> </w:t>
      </w:r>
      <w:r w:rsidRPr="00E06F76">
        <w:t>млрд</w:t>
      </w:r>
      <w:r w:rsidRPr="003D40CA">
        <w:t xml:space="preserve"> </w:t>
      </w:r>
      <w:r w:rsidRPr="00E06F76">
        <w:t>руб.</w:t>
      </w:r>
    </w:p>
    <w:p w:rsidR="008D5E79" w:rsidRPr="008D5E79" w:rsidRDefault="003D40CA" w:rsidP="008D5E79">
      <w:pPr>
        <w:pStyle w:val="BodyText"/>
        <w:spacing w:before="121"/>
        <w:ind w:left="302" w:right="182"/>
        <w:jc w:val="both"/>
        <w:rPr>
          <w:highlight w:val="yellow"/>
        </w:rPr>
      </w:pPr>
      <w:r w:rsidRPr="00957B2C">
        <w:t>Скорректированная</w:t>
      </w:r>
      <w:r w:rsidRPr="00957B2C">
        <w:rPr>
          <w:spacing w:val="-4"/>
        </w:rPr>
        <w:t xml:space="preserve"> </w:t>
      </w:r>
      <w:r w:rsidRPr="00957B2C">
        <w:t>EBITDA</w:t>
      </w:r>
      <w:r w:rsidRPr="00957B2C">
        <w:rPr>
          <w:spacing w:val="-3"/>
        </w:rPr>
        <w:t xml:space="preserve"> </w:t>
      </w:r>
      <w:r w:rsidRPr="00957B2C">
        <w:t>Группы</w:t>
      </w:r>
      <w:r w:rsidRPr="00957B2C">
        <w:rPr>
          <w:spacing w:val="-2"/>
        </w:rPr>
        <w:t xml:space="preserve"> </w:t>
      </w:r>
      <w:r>
        <w:t>по итогам 12 месяцев 202</w:t>
      </w:r>
      <w:r w:rsidR="00DB113E">
        <w:t>1</w:t>
      </w:r>
      <w:r>
        <w:t xml:space="preserve"> </w:t>
      </w:r>
      <w:r w:rsidRPr="00957B2C">
        <w:t>год</w:t>
      </w:r>
      <w:r>
        <w:t>а</w:t>
      </w:r>
      <w:r w:rsidRPr="00957B2C">
        <w:rPr>
          <w:spacing w:val="-7"/>
        </w:rPr>
        <w:t xml:space="preserve"> </w:t>
      </w:r>
      <w:r w:rsidRPr="00957B2C">
        <w:t>составила</w:t>
      </w:r>
      <w:r w:rsidRPr="00957B2C">
        <w:rPr>
          <w:spacing w:val="-5"/>
        </w:rPr>
        <w:t xml:space="preserve"> </w:t>
      </w:r>
      <w:r w:rsidR="0032731C" w:rsidRPr="005B1AFC">
        <w:rPr>
          <w:spacing w:val="-5"/>
        </w:rPr>
        <w:t>1 </w:t>
      </w:r>
      <w:r w:rsidR="005B1AFC" w:rsidRPr="005B1AFC">
        <w:rPr>
          <w:spacing w:val="-5"/>
        </w:rPr>
        <w:t>064</w:t>
      </w:r>
      <w:r w:rsidR="0032731C" w:rsidRPr="005B1AFC">
        <w:rPr>
          <w:spacing w:val="-5"/>
        </w:rPr>
        <w:t xml:space="preserve"> </w:t>
      </w:r>
      <w:r w:rsidRPr="00957B2C">
        <w:t>млн</w:t>
      </w:r>
      <w:r w:rsidRPr="00957B2C">
        <w:rPr>
          <w:spacing w:val="-5"/>
        </w:rPr>
        <w:t xml:space="preserve"> </w:t>
      </w:r>
      <w:r w:rsidRPr="00957B2C">
        <w:t>руб.,</w:t>
      </w:r>
      <w:r w:rsidRPr="00957B2C">
        <w:rPr>
          <w:spacing w:val="-6"/>
        </w:rPr>
        <w:t xml:space="preserve"> </w:t>
      </w:r>
      <w:r w:rsidRPr="00957B2C">
        <w:t>что</w:t>
      </w:r>
      <w:r w:rsidRPr="00957B2C">
        <w:rPr>
          <w:spacing w:val="-4"/>
        </w:rPr>
        <w:t xml:space="preserve"> </w:t>
      </w:r>
      <w:r w:rsidRPr="00957B2C">
        <w:t>на</w:t>
      </w:r>
      <w:r w:rsidR="0032731C">
        <w:t xml:space="preserve"> </w:t>
      </w:r>
      <w:r w:rsidR="00D2742F">
        <w:t xml:space="preserve">94 </w:t>
      </w:r>
      <w:r>
        <w:t>млн</w:t>
      </w:r>
      <w:r w:rsidRPr="00957B2C">
        <w:rPr>
          <w:spacing w:val="-4"/>
        </w:rPr>
        <w:t xml:space="preserve"> </w:t>
      </w:r>
      <w:r w:rsidR="0032731C">
        <w:t>больше</w:t>
      </w:r>
      <w:r w:rsidRPr="00957B2C">
        <w:t>,</w:t>
      </w:r>
      <w:r w:rsidRPr="00957B2C">
        <w:rPr>
          <w:spacing w:val="-5"/>
        </w:rPr>
        <w:t xml:space="preserve"> </w:t>
      </w:r>
      <w:r>
        <w:t>чем в 20</w:t>
      </w:r>
      <w:r w:rsidR="00DB113E">
        <w:t>20</w:t>
      </w:r>
      <w:r w:rsidRPr="00957B2C">
        <w:t xml:space="preserve"> году, к</w:t>
      </w:r>
      <w:r>
        <w:t>огда этот показатель составил</w:t>
      </w:r>
      <w:r w:rsidRPr="00957B2C">
        <w:t xml:space="preserve"> </w:t>
      </w:r>
      <w:r w:rsidR="00D2742F">
        <w:t>970</w:t>
      </w:r>
      <w:r w:rsidR="0032731C">
        <w:t> </w:t>
      </w:r>
      <w:r w:rsidRPr="00957B2C">
        <w:t xml:space="preserve">млн руб. </w:t>
      </w:r>
      <w:r w:rsidR="00C83C1B" w:rsidRPr="00957B2C">
        <w:t>Рентабельность по скорректированной EBITDA составила</w:t>
      </w:r>
      <w:r w:rsidR="005B1AFC">
        <w:t xml:space="preserve"> 8,6</w:t>
      </w:r>
      <w:r w:rsidR="00C83C1B" w:rsidRPr="00957B2C">
        <w:t xml:space="preserve"> % против </w:t>
      </w:r>
      <w:r w:rsidR="0032731C">
        <w:t xml:space="preserve">9,7 </w:t>
      </w:r>
      <w:r w:rsidR="00C83C1B" w:rsidRPr="00957B2C">
        <w:t>%</w:t>
      </w:r>
      <w:r w:rsidR="00C83C1B">
        <w:t xml:space="preserve"> в 20</w:t>
      </w:r>
      <w:r w:rsidR="00DB113E">
        <w:t>20</w:t>
      </w:r>
      <w:r w:rsidR="00C83C1B" w:rsidRPr="00957B2C">
        <w:rPr>
          <w:spacing w:val="-12"/>
        </w:rPr>
        <w:t xml:space="preserve"> </w:t>
      </w:r>
      <w:r w:rsidR="00C83C1B" w:rsidRPr="00957B2C">
        <w:t>год</w:t>
      </w:r>
      <w:r w:rsidR="00C83C1B" w:rsidRPr="00F8603F">
        <w:t>у.</w:t>
      </w:r>
      <w:r w:rsidR="008D5E79" w:rsidRPr="00F8603F">
        <w:t xml:space="preserve"> </w:t>
      </w:r>
    </w:p>
    <w:p w:rsidR="00217CDB" w:rsidRDefault="00217CDB" w:rsidP="00E47533">
      <w:pPr>
        <w:pStyle w:val="Heading1"/>
        <w:spacing w:before="121"/>
        <w:jc w:val="both"/>
      </w:pPr>
      <w:r w:rsidRPr="008D5E79">
        <w:t>Чист</w:t>
      </w:r>
      <w:r w:rsidR="004355A4" w:rsidRPr="008D5E79">
        <w:t>ая прибыль</w:t>
      </w:r>
    </w:p>
    <w:p w:rsidR="00217CDB" w:rsidRDefault="00217CDB" w:rsidP="00B121E5">
      <w:pPr>
        <w:pStyle w:val="BodyText"/>
        <w:spacing w:before="120"/>
        <w:ind w:left="302" w:right="182"/>
        <w:jc w:val="both"/>
      </w:pPr>
      <w:r>
        <w:t>Чист</w:t>
      </w:r>
      <w:r w:rsidR="004355A4">
        <w:t>ая прибыль</w:t>
      </w:r>
      <w:r w:rsidR="0032731C">
        <w:t xml:space="preserve"> Группы по итогам 202</w:t>
      </w:r>
      <w:r w:rsidR="00AB3B28">
        <w:t>1</w:t>
      </w:r>
      <w:r w:rsidR="0032731C">
        <w:t xml:space="preserve"> </w:t>
      </w:r>
      <w:r>
        <w:t xml:space="preserve">года составила </w:t>
      </w:r>
      <w:r w:rsidR="00DC31D1" w:rsidRPr="00DC31D1">
        <w:t>191</w:t>
      </w:r>
      <w:r w:rsidR="00DC31D1">
        <w:t>,1</w:t>
      </w:r>
      <w:r w:rsidR="00AA7662">
        <w:t xml:space="preserve"> млн руб. против </w:t>
      </w:r>
      <w:r w:rsidR="00F84051">
        <w:t xml:space="preserve">66,6 </w:t>
      </w:r>
      <w:r>
        <w:t>млн руб. в 20</w:t>
      </w:r>
      <w:r w:rsidR="00AB3B28">
        <w:t>20</w:t>
      </w:r>
      <w:r w:rsidR="00AA7662">
        <w:t xml:space="preserve"> </w:t>
      </w:r>
      <w:r>
        <w:t>году.</w:t>
      </w:r>
    </w:p>
    <w:p w:rsidR="00217CDB" w:rsidRDefault="00217CDB" w:rsidP="00E47533">
      <w:pPr>
        <w:pStyle w:val="Heading1"/>
        <w:spacing w:before="119"/>
        <w:jc w:val="both"/>
      </w:pPr>
      <w:r>
        <w:t>Долг</w:t>
      </w:r>
    </w:p>
    <w:p w:rsidR="00EF6E3A" w:rsidRPr="001F0008" w:rsidRDefault="00217CDB" w:rsidP="00E034FE">
      <w:pPr>
        <w:pStyle w:val="BodyText"/>
        <w:spacing w:before="120"/>
        <w:ind w:left="302" w:right="182"/>
        <w:jc w:val="both"/>
        <w:sectPr w:rsidR="00EF6E3A" w:rsidRPr="001F0008">
          <w:footerReference w:type="default" r:id="rId9"/>
          <w:pgSz w:w="11910" w:h="16840"/>
          <w:pgMar w:top="1080" w:right="660" w:bottom="1480" w:left="1400" w:header="0" w:footer="1293" w:gutter="0"/>
          <w:cols w:space="720"/>
        </w:sectPr>
      </w:pPr>
      <w:r w:rsidRPr="00014BF9">
        <w:t xml:space="preserve">Общий долг </w:t>
      </w:r>
      <w:r w:rsidRPr="0007257A">
        <w:t xml:space="preserve">на </w:t>
      </w:r>
      <w:r w:rsidR="00AC59C9">
        <w:t>31</w:t>
      </w:r>
      <w:r w:rsidR="007E613F" w:rsidRPr="00C4546F">
        <w:t xml:space="preserve"> </w:t>
      </w:r>
      <w:r w:rsidR="007E613F">
        <w:t xml:space="preserve">декабря </w:t>
      </w:r>
      <w:r>
        <w:t>202</w:t>
      </w:r>
      <w:r w:rsidR="00DB113E">
        <w:t>1</w:t>
      </w:r>
      <w:r w:rsidRPr="00014BF9">
        <w:t xml:space="preserve"> год</w:t>
      </w:r>
      <w:r w:rsidRPr="0007257A">
        <w:t>а</w:t>
      </w:r>
      <w:r w:rsidRPr="00014BF9">
        <w:t xml:space="preserve"> составил 3</w:t>
      </w:r>
      <w:r w:rsidR="00AA7662">
        <w:t xml:space="preserve">,48 </w:t>
      </w:r>
      <w:r w:rsidRPr="00014BF9">
        <w:t>млрд руб</w:t>
      </w:r>
      <w:r>
        <w:t xml:space="preserve">. </w:t>
      </w:r>
      <w:r w:rsidR="00466D84" w:rsidRPr="00466D84">
        <w:t>Чистый долг в 20</w:t>
      </w:r>
      <w:r w:rsidR="00466D84">
        <w:t>2</w:t>
      </w:r>
      <w:r w:rsidR="00DB113E">
        <w:t>1</w:t>
      </w:r>
      <w:r w:rsidR="00466D84">
        <w:t xml:space="preserve"> </w:t>
      </w:r>
      <w:r w:rsidR="00466D84" w:rsidRPr="00466D84">
        <w:t xml:space="preserve">году </w:t>
      </w:r>
      <w:r w:rsidR="00466D84" w:rsidRPr="00AA7662">
        <w:t>снизился</w:t>
      </w:r>
      <w:r w:rsidR="00466D84" w:rsidRPr="00466D84">
        <w:t xml:space="preserve"> до </w:t>
      </w:r>
      <w:r w:rsidR="00AA7662">
        <w:t xml:space="preserve">2,58 </w:t>
      </w:r>
      <w:r w:rsidR="00466D84" w:rsidRPr="00466D84">
        <w:t xml:space="preserve">млрд руб. </w:t>
      </w:r>
      <w:r w:rsidR="00466D84">
        <w:t>или на</w:t>
      </w:r>
      <w:r w:rsidR="00AA7662">
        <w:t xml:space="preserve"> 10,6</w:t>
      </w:r>
      <w:r w:rsidR="00466D84">
        <w:t xml:space="preserve"> %, </w:t>
      </w:r>
      <w:r w:rsidR="00466D84" w:rsidRPr="00466D84">
        <w:t xml:space="preserve">по сравнению с </w:t>
      </w:r>
      <w:r w:rsidR="00AA7662">
        <w:t xml:space="preserve">2,89 </w:t>
      </w:r>
      <w:r w:rsidR="00466D84" w:rsidRPr="00466D84">
        <w:t>млрд руб. в 20</w:t>
      </w:r>
      <w:r w:rsidR="00AA7662">
        <w:t>20</w:t>
      </w:r>
      <w:r w:rsidR="00466D84" w:rsidRPr="00466D84">
        <w:t xml:space="preserve"> году.</w:t>
      </w:r>
      <w:r w:rsidR="00DB113E">
        <w:t xml:space="preserve"> </w:t>
      </w:r>
      <w:r w:rsidR="001F0008">
        <w:t xml:space="preserve"> Соотношение показателя ч</w:t>
      </w:r>
      <w:r w:rsidR="00EC649E">
        <w:t>истого долга к</w:t>
      </w:r>
      <w:r w:rsidR="001F0008">
        <w:t xml:space="preserve"> показателю </w:t>
      </w:r>
      <w:r w:rsidR="001F0008">
        <w:rPr>
          <w:lang w:val="en-US"/>
        </w:rPr>
        <w:t>EBITDA</w:t>
      </w:r>
      <w:r w:rsidR="001F0008" w:rsidRPr="001F0008">
        <w:t xml:space="preserve"> </w:t>
      </w:r>
      <w:r w:rsidR="001F0008">
        <w:t>составил</w:t>
      </w:r>
      <w:r w:rsidR="00AE7009">
        <w:t>о</w:t>
      </w:r>
      <w:r w:rsidR="001F0008">
        <w:t xml:space="preserve"> 2,43</w:t>
      </w:r>
      <w:r w:rsidR="006075CB">
        <w:t>.</w:t>
      </w:r>
    </w:p>
    <w:p w:rsidR="00014684" w:rsidRDefault="00A81EF6">
      <w:pPr>
        <w:pStyle w:val="Heading1"/>
        <w:spacing w:before="31"/>
        <w:ind w:left="429" w:right="316"/>
        <w:jc w:val="center"/>
      </w:pPr>
      <w:r>
        <w:t>Ключ</w:t>
      </w:r>
      <w:r w:rsidR="00F43F59">
        <w:t>евые финансовые показатели по итогам 20</w:t>
      </w:r>
      <w:r w:rsidR="00DB113E">
        <w:t>20</w:t>
      </w:r>
      <w:r>
        <w:t>-</w:t>
      </w:r>
      <w:r w:rsidR="00F43F59">
        <w:t>202</w:t>
      </w:r>
      <w:r w:rsidR="00DB113E">
        <w:t>1</w:t>
      </w:r>
      <w:r w:rsidR="00A0467D" w:rsidRPr="00C4546F">
        <w:t xml:space="preserve"> </w:t>
      </w:r>
      <w:r w:rsidR="00A0467D">
        <w:t>годов</w:t>
      </w:r>
      <w:r>
        <w:t xml:space="preserve">, </w:t>
      </w:r>
      <w:r w:rsidR="00D2742F">
        <w:t>млн</w:t>
      </w:r>
      <w:r>
        <w:t xml:space="preserve"> руб.</w:t>
      </w:r>
    </w:p>
    <w:tbl>
      <w:tblPr>
        <w:tblW w:w="8897" w:type="dxa"/>
        <w:tblLook w:val="04A0" w:firstRow="1" w:lastRow="0" w:firstColumn="1" w:lastColumn="0" w:noHBand="0" w:noVBand="1"/>
      </w:tblPr>
      <w:tblGrid>
        <w:gridCol w:w="3876"/>
        <w:gridCol w:w="1747"/>
        <w:gridCol w:w="1637"/>
        <w:gridCol w:w="1637"/>
      </w:tblGrid>
      <w:tr w:rsidR="006D2A39" w:rsidRPr="00F43F59" w:rsidTr="0096718D">
        <w:trPr>
          <w:trHeight w:val="257"/>
        </w:trPr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shd w:val="clear" w:color="000000" w:fill="ADDCFF"/>
            <w:vAlign w:val="center"/>
            <w:hideMark/>
          </w:tcPr>
          <w:p w:rsidR="006D2A39" w:rsidRPr="00F43F59" w:rsidRDefault="006D2A39" w:rsidP="0096718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ar-SA"/>
              </w:rPr>
            </w:pPr>
            <w:r w:rsidRPr="00F43F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000000" w:fill="ADDCFF"/>
            <w:vAlign w:val="center"/>
            <w:hideMark/>
          </w:tcPr>
          <w:p w:rsidR="006D2A39" w:rsidRPr="00F43F59" w:rsidRDefault="006D2A39" w:rsidP="0096718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  <w:t>2021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000000" w:fill="ADDCFF"/>
            <w:vAlign w:val="center"/>
            <w:hideMark/>
          </w:tcPr>
          <w:p w:rsidR="006D2A39" w:rsidRPr="00F43F59" w:rsidRDefault="006D2A39" w:rsidP="0096718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  <w:t>2020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000000" w:fill="ADDCFF"/>
            <w:vAlign w:val="center"/>
            <w:hideMark/>
          </w:tcPr>
          <w:p w:rsidR="006D2A39" w:rsidRPr="00F43F59" w:rsidRDefault="00564424" w:rsidP="0096718D">
            <w:pPr>
              <w:widowControl/>
              <w:autoSpaceDE/>
              <w:autoSpaceDN/>
              <w:ind w:firstLineChars="100" w:firstLine="20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  <w:t>Изм.</w:t>
            </w:r>
          </w:p>
        </w:tc>
      </w:tr>
      <w:tr w:rsidR="006D2A39" w:rsidRPr="00F43F59" w:rsidTr="0096718D">
        <w:trPr>
          <w:trHeight w:val="257"/>
        </w:trPr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2A39" w:rsidRPr="00F43F59" w:rsidRDefault="006D2A39" w:rsidP="0096718D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F43F5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  <w:t>Выручка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2A39" w:rsidRPr="00F43F59" w:rsidRDefault="006D2A39" w:rsidP="00D2742F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12 425 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2A39" w:rsidRPr="00F43F59" w:rsidRDefault="006D2A39" w:rsidP="00D2742F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10 031 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2A39" w:rsidRPr="00F43F59" w:rsidRDefault="006D2A39" w:rsidP="0096718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23,9%</w:t>
            </w:r>
          </w:p>
        </w:tc>
      </w:tr>
      <w:tr w:rsidR="00095602" w:rsidRPr="00F43F59" w:rsidTr="00EB7848">
        <w:trPr>
          <w:trHeight w:val="285"/>
        </w:trPr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5602" w:rsidRPr="009D7763" w:rsidRDefault="00095602" w:rsidP="00095602">
            <w:pPr>
              <w:widowControl/>
              <w:autoSpaceDE/>
              <w:autoSpaceDN/>
              <w:spacing w:after="120"/>
              <w:ind w:left="72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bidi="ar-SA"/>
              </w:rPr>
              <w:t xml:space="preserve">– в т.ч. </w:t>
            </w:r>
            <w:r w:rsidRPr="00987035">
              <w:rPr>
                <w:rFonts w:eastAsia="Times New Roman"/>
                <w:b/>
                <w:bCs/>
                <w:color w:val="000000"/>
                <w:sz w:val="20"/>
                <w:szCs w:val="20"/>
                <w:lang w:bidi="ar-SA"/>
              </w:rPr>
              <w:t>в</w:t>
            </w:r>
            <w:r w:rsidRPr="009D7763">
              <w:rPr>
                <w:rFonts w:eastAsia="Times New Roman"/>
                <w:b/>
                <w:bCs/>
                <w:color w:val="000000"/>
                <w:sz w:val="20"/>
                <w:szCs w:val="20"/>
                <w:lang w:bidi="ar-SA"/>
              </w:rPr>
              <w:t>ыручка от оперирования собственным парком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5602" w:rsidRPr="00054727" w:rsidRDefault="00095602" w:rsidP="00D2742F">
            <w:pPr>
              <w:widowControl/>
              <w:autoSpaceDE/>
              <w:autoSpaceDN/>
              <w:spacing w:after="12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9 000 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5602" w:rsidRPr="005E4A3E" w:rsidRDefault="00B52A3F" w:rsidP="00D2742F">
            <w:pPr>
              <w:widowControl/>
              <w:autoSpaceDE/>
              <w:autoSpaceDN/>
              <w:spacing w:after="12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8 519</w:t>
            </w:r>
            <w:r w:rsidR="00095602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5602" w:rsidRPr="006C611D" w:rsidRDefault="006C611D" w:rsidP="00095602">
            <w:pPr>
              <w:widowControl/>
              <w:autoSpaceDE/>
              <w:autoSpaceDN/>
              <w:spacing w:after="120"/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5,6%</w:t>
            </w:r>
          </w:p>
        </w:tc>
      </w:tr>
      <w:tr w:rsidR="00095602" w:rsidRPr="00F43F59" w:rsidTr="00EB7848">
        <w:trPr>
          <w:trHeight w:val="771"/>
        </w:trPr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5602" w:rsidRPr="009D7763" w:rsidRDefault="00095602" w:rsidP="00095602">
            <w:pPr>
              <w:widowControl/>
              <w:autoSpaceDE/>
              <w:autoSpaceDN/>
              <w:spacing w:after="120"/>
              <w:ind w:left="72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bidi="ar-SA"/>
              </w:rPr>
              <w:t xml:space="preserve">– в т.ч. </w:t>
            </w:r>
            <w:r w:rsidRPr="00987035">
              <w:rPr>
                <w:rFonts w:eastAsia="Times New Roman"/>
                <w:b/>
                <w:bCs/>
                <w:color w:val="000000"/>
                <w:sz w:val="20"/>
                <w:szCs w:val="20"/>
                <w:lang w:bidi="ar-SA"/>
              </w:rPr>
              <w:t>в</w:t>
            </w:r>
            <w:r w:rsidRPr="009D7763">
              <w:rPr>
                <w:rFonts w:eastAsia="Times New Roman"/>
                <w:b/>
                <w:bCs/>
                <w:color w:val="000000"/>
                <w:sz w:val="20"/>
                <w:szCs w:val="20"/>
                <w:lang w:bidi="ar-SA"/>
              </w:rPr>
              <w:t>ыручка от экспедирования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5602" w:rsidRPr="00054727" w:rsidRDefault="00095602" w:rsidP="00D2742F">
            <w:pPr>
              <w:widowControl/>
              <w:autoSpaceDE/>
              <w:autoSpaceDN/>
              <w:spacing w:after="12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3 404 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5602" w:rsidRPr="005E4A3E" w:rsidRDefault="00095602" w:rsidP="00D2742F">
            <w:pPr>
              <w:widowControl/>
              <w:autoSpaceDE/>
              <w:autoSpaceDN/>
              <w:spacing w:after="12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1 500 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5602" w:rsidRPr="005E4A3E" w:rsidRDefault="006C611D" w:rsidP="00095602">
            <w:pPr>
              <w:widowControl/>
              <w:autoSpaceDE/>
              <w:autoSpaceDN/>
              <w:spacing w:after="12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611D">
              <w:rPr>
                <w:b/>
                <w:bCs/>
                <w:color w:val="000000"/>
                <w:sz w:val="20"/>
                <w:szCs w:val="20"/>
              </w:rPr>
              <w:t>х 2,27 р.</w:t>
            </w:r>
          </w:p>
        </w:tc>
      </w:tr>
      <w:tr w:rsidR="00095602" w:rsidRPr="00F43F59" w:rsidTr="00EB7848">
        <w:trPr>
          <w:trHeight w:val="528"/>
        </w:trPr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5602" w:rsidRPr="000B71C7" w:rsidRDefault="00095602" w:rsidP="00095602">
            <w:pPr>
              <w:widowControl/>
              <w:autoSpaceDE/>
              <w:autoSpaceDN/>
              <w:spacing w:after="120"/>
              <w:ind w:left="720"/>
              <w:rPr>
                <w:rFonts w:eastAsia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6718D">
              <w:rPr>
                <w:rFonts w:eastAsia="Times New Roman"/>
                <w:b/>
                <w:bCs/>
                <w:color w:val="000000"/>
                <w:sz w:val="20"/>
                <w:szCs w:val="20"/>
                <w:lang w:bidi="ar-SA"/>
              </w:rPr>
              <w:t xml:space="preserve">– в т.ч. 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bidi="ar-SA"/>
              </w:rPr>
              <w:t>прочая выручка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5602" w:rsidRPr="00095602" w:rsidRDefault="00095602" w:rsidP="00D8033B">
            <w:pPr>
              <w:widowControl/>
              <w:autoSpaceDE/>
              <w:autoSpaceDN/>
              <w:spacing w:after="12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</w:t>
            </w:r>
            <w:r w:rsidR="00D8033B">
              <w:rPr>
                <w:b/>
                <w:bCs/>
                <w:color w:val="000000"/>
                <w:sz w:val="20"/>
                <w:szCs w:val="20"/>
              </w:rPr>
              <w:t>,7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5602" w:rsidRPr="00095602" w:rsidRDefault="00095602" w:rsidP="00D8033B">
            <w:pPr>
              <w:widowControl/>
              <w:autoSpaceDE/>
              <w:autoSpaceDN/>
              <w:spacing w:after="12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</w:t>
            </w:r>
            <w:r w:rsidR="00B52A3F">
              <w:rPr>
                <w:b/>
                <w:bCs/>
                <w:color w:val="000000"/>
                <w:sz w:val="20"/>
                <w:szCs w:val="20"/>
              </w:rPr>
              <w:t>,2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5602" w:rsidRDefault="00095602" w:rsidP="00095602">
            <w:pPr>
              <w:widowControl/>
              <w:autoSpaceDE/>
              <w:autoSpaceDN/>
              <w:spacing w:after="12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70,3%</w:t>
            </w:r>
          </w:p>
        </w:tc>
      </w:tr>
      <w:tr w:rsidR="008B6202" w:rsidRPr="00F43F59" w:rsidTr="00EB7848">
        <w:trPr>
          <w:trHeight w:val="528"/>
        </w:trPr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6202" w:rsidRPr="000C596E" w:rsidRDefault="008B6202" w:rsidP="008B6202">
            <w:pPr>
              <w:widowControl/>
              <w:autoSpaceDE/>
              <w:autoSpaceDN/>
              <w:spacing w:after="12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  <w:t>Количество заявок экспедирования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6202" w:rsidRPr="00054727" w:rsidRDefault="00DA231C" w:rsidP="008B6202">
            <w:pPr>
              <w:widowControl/>
              <w:autoSpaceDE/>
              <w:autoSpaceDN/>
              <w:spacing w:after="120"/>
              <w:jc w:val="center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39 548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6202" w:rsidRPr="00B52A3F" w:rsidRDefault="00805CD5" w:rsidP="008B6202">
            <w:pPr>
              <w:widowControl/>
              <w:autoSpaceDE/>
              <w:autoSpaceDN/>
              <w:spacing w:after="120"/>
              <w:jc w:val="center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21 876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6202" w:rsidRPr="00054727" w:rsidRDefault="00DE194A" w:rsidP="008B6202">
            <w:pPr>
              <w:widowControl/>
              <w:autoSpaceDE/>
              <w:autoSpaceDN/>
              <w:spacing w:after="120"/>
              <w:jc w:val="center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80</w:t>
            </w:r>
            <w:r>
              <w:rPr>
                <w:b/>
                <w:bCs/>
                <w:color w:val="000000"/>
                <w:sz w:val="20"/>
                <w:szCs w:val="20"/>
              </w:rPr>
              <w:t>,8</w:t>
            </w:r>
            <w:r w:rsidR="008B6202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8B6202" w:rsidRPr="00F43F59" w:rsidTr="00EB7848">
        <w:trPr>
          <w:trHeight w:val="528"/>
        </w:trPr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6202" w:rsidRPr="009D7763" w:rsidRDefault="008B6202" w:rsidP="008B6202">
            <w:pPr>
              <w:widowControl/>
              <w:autoSpaceDE/>
              <w:autoSpaceDN/>
              <w:spacing w:after="120"/>
              <w:rPr>
                <w:rFonts w:eastAsia="Times New Roman" w:cs="Times New Roman"/>
                <w:b/>
                <w:bCs/>
                <w:i/>
                <w:color w:val="000000"/>
                <w:sz w:val="20"/>
                <w:szCs w:val="20"/>
                <w:lang w:bidi="ar-SA"/>
              </w:rPr>
            </w:pPr>
            <w:r w:rsidRPr="009D7763">
              <w:rPr>
                <w:rFonts w:eastAsia="Times New Roman" w:cs="Times New Roman"/>
                <w:b/>
                <w:bCs/>
                <w:i/>
                <w:color w:val="000000"/>
                <w:sz w:val="20"/>
                <w:szCs w:val="20"/>
                <w:lang w:bidi="ar-SA"/>
              </w:rPr>
              <w:t>Доля экспедирования, %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6202" w:rsidRPr="00713BCF" w:rsidRDefault="002C47F3" w:rsidP="008B6202">
            <w:pPr>
              <w:widowControl/>
              <w:autoSpaceDE/>
              <w:autoSpaceDN/>
              <w:spacing w:after="12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color w:val="000000"/>
                <w:sz w:val="20"/>
                <w:szCs w:val="20"/>
              </w:rPr>
              <w:t>27,4</w:t>
            </w:r>
            <w:r w:rsidR="008B6202">
              <w:rPr>
                <w:b/>
                <w:bCs/>
                <w:i/>
                <w:color w:val="000000"/>
                <w:sz w:val="20"/>
                <w:szCs w:val="20"/>
              </w:rPr>
              <w:t>%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6202" w:rsidRPr="000C596E" w:rsidRDefault="004049E8" w:rsidP="008B6202">
            <w:pPr>
              <w:widowControl/>
              <w:autoSpaceDE/>
              <w:autoSpaceDN/>
              <w:spacing w:after="12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color w:val="000000"/>
                <w:sz w:val="20"/>
                <w:szCs w:val="20"/>
              </w:rPr>
              <w:t>15</w:t>
            </w:r>
            <w:r w:rsidR="008B6202">
              <w:rPr>
                <w:b/>
                <w:bCs/>
                <w:i/>
                <w:color w:val="000000"/>
                <w:sz w:val="20"/>
                <w:szCs w:val="20"/>
              </w:rPr>
              <w:t>%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6202" w:rsidRPr="008276CD" w:rsidRDefault="004049E8" w:rsidP="008B6202">
            <w:pPr>
              <w:widowControl/>
              <w:autoSpaceDE/>
              <w:autoSpaceDN/>
              <w:spacing w:after="12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color w:val="000000"/>
                <w:sz w:val="20"/>
                <w:szCs w:val="20"/>
              </w:rPr>
              <w:t>12,4</w:t>
            </w:r>
            <w:r w:rsidR="008B6202" w:rsidRPr="0096718D">
              <w:rPr>
                <w:b/>
                <w:bCs/>
                <w:i/>
                <w:color w:val="000000"/>
                <w:sz w:val="20"/>
                <w:szCs w:val="20"/>
              </w:rPr>
              <w:t xml:space="preserve"> </w:t>
            </w:r>
            <w:r w:rsidR="00EE3B46">
              <w:rPr>
                <w:b/>
                <w:bCs/>
                <w:i/>
                <w:color w:val="000000"/>
                <w:sz w:val="20"/>
                <w:szCs w:val="20"/>
              </w:rPr>
              <w:t>п.</w:t>
            </w:r>
            <w:r w:rsidR="008B6202">
              <w:rPr>
                <w:b/>
                <w:bCs/>
                <w:i/>
                <w:color w:val="000000"/>
                <w:sz w:val="20"/>
                <w:szCs w:val="20"/>
              </w:rPr>
              <w:t>п.</w:t>
            </w:r>
          </w:p>
        </w:tc>
      </w:tr>
      <w:tr w:rsidR="008B6202" w:rsidRPr="00F43F59" w:rsidTr="0096718D">
        <w:trPr>
          <w:trHeight w:val="242"/>
        </w:trPr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6202" w:rsidRPr="00F43F59" w:rsidRDefault="008B6202" w:rsidP="008B6202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  <w:t>Чистая прибыль (убыток)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6202" w:rsidRPr="00DC31D1" w:rsidRDefault="00DC31D1" w:rsidP="00D8033B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 w:bidi="ar-SA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191</w:t>
            </w:r>
            <w:r w:rsidR="00D8033B">
              <w:rPr>
                <w:b/>
                <w:bCs/>
                <w:color w:val="000000"/>
                <w:sz w:val="20"/>
                <w:szCs w:val="20"/>
              </w:rPr>
              <w:t>,1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6202" w:rsidRPr="00F43F59" w:rsidRDefault="008B6202" w:rsidP="00D8033B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66</w:t>
            </w:r>
            <w:r w:rsidR="00D8033B">
              <w:rPr>
                <w:b/>
                <w:bCs/>
                <w:color w:val="000000"/>
                <w:sz w:val="20"/>
                <w:szCs w:val="20"/>
              </w:rPr>
              <w:t>,6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6202" w:rsidRPr="006C611D" w:rsidRDefault="00564424" w:rsidP="008B620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 w:bidi="ar-SA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х 2,87 </w:t>
            </w:r>
            <w:r w:rsidR="00656EA2">
              <w:rPr>
                <w:b/>
                <w:bCs/>
                <w:color w:val="000000"/>
                <w:sz w:val="20"/>
                <w:szCs w:val="20"/>
              </w:rPr>
              <w:t>р.</w:t>
            </w:r>
          </w:p>
        </w:tc>
      </w:tr>
      <w:tr w:rsidR="008B6202" w:rsidRPr="00F43F59" w:rsidTr="0096718D">
        <w:trPr>
          <w:trHeight w:val="485"/>
        </w:trPr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6202" w:rsidRPr="00F43F59" w:rsidRDefault="008B6202" w:rsidP="008B6202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F43F59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ar-SA"/>
              </w:rPr>
              <w:t xml:space="preserve">Рентабельность по </w:t>
            </w:r>
            <w:r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ar-SA"/>
              </w:rPr>
              <w:t>чистой прибыли</w:t>
            </w:r>
            <w:r w:rsidRPr="00F43F59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ar-SA"/>
              </w:rPr>
              <w:t>, %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6202" w:rsidRPr="00F43F59" w:rsidRDefault="00DC31D1" w:rsidP="008B620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ar-SA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1,5</w:t>
            </w:r>
            <w:r w:rsidR="00564424">
              <w:rPr>
                <w:b/>
                <w:bCs/>
                <w:i/>
                <w:iCs/>
                <w:color w:val="000000"/>
                <w:sz w:val="20"/>
                <w:szCs w:val="20"/>
              </w:rPr>
              <w:t>4</w:t>
            </w:r>
            <w:r w:rsidR="008B6202">
              <w:rPr>
                <w:b/>
                <w:bCs/>
                <w:i/>
                <w:i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6202" w:rsidRPr="00F43F59" w:rsidRDefault="00656EA2" w:rsidP="008B620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ar-SA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0,67</w:t>
            </w:r>
            <w:r w:rsidR="008B6202">
              <w:rPr>
                <w:b/>
                <w:bCs/>
                <w:i/>
                <w:i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6202" w:rsidRPr="002C47F3" w:rsidRDefault="00656EA2" w:rsidP="008B620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i/>
                <w:color w:val="000000"/>
                <w:sz w:val="20"/>
                <w:szCs w:val="20"/>
                <w:lang w:bidi="ar-SA"/>
              </w:rPr>
            </w:pPr>
            <w:r>
              <w:rPr>
                <w:b/>
                <w:bCs/>
                <w:i/>
                <w:color w:val="000000"/>
                <w:sz w:val="20"/>
                <w:szCs w:val="20"/>
              </w:rPr>
              <w:t>+</w:t>
            </w:r>
            <w:r w:rsidR="00DC31D1">
              <w:rPr>
                <w:b/>
                <w:bCs/>
                <w:i/>
                <w:color w:val="000000"/>
                <w:sz w:val="20"/>
                <w:szCs w:val="20"/>
              </w:rPr>
              <w:t>0,</w:t>
            </w:r>
            <w:r w:rsidR="00564424">
              <w:rPr>
                <w:b/>
                <w:bCs/>
                <w:i/>
                <w:color w:val="000000"/>
                <w:sz w:val="20"/>
                <w:szCs w:val="20"/>
              </w:rPr>
              <w:t>87</w:t>
            </w:r>
            <w:r w:rsidR="008B6202" w:rsidRPr="002C47F3">
              <w:rPr>
                <w:b/>
                <w:bCs/>
                <w:i/>
                <w:color w:val="000000"/>
                <w:sz w:val="20"/>
                <w:szCs w:val="20"/>
              </w:rPr>
              <w:t xml:space="preserve"> п.</w:t>
            </w:r>
            <w:r w:rsidR="002C47F3">
              <w:rPr>
                <w:b/>
                <w:bCs/>
                <w:i/>
                <w:color w:val="000000"/>
                <w:sz w:val="20"/>
                <w:szCs w:val="20"/>
              </w:rPr>
              <w:t xml:space="preserve"> </w:t>
            </w:r>
            <w:r w:rsidR="008B6202" w:rsidRPr="002C47F3">
              <w:rPr>
                <w:b/>
                <w:bCs/>
                <w:i/>
                <w:color w:val="000000"/>
                <w:sz w:val="20"/>
                <w:szCs w:val="20"/>
              </w:rPr>
              <w:t>п.</w:t>
            </w:r>
          </w:p>
        </w:tc>
      </w:tr>
      <w:tr w:rsidR="008B6202" w:rsidRPr="00F43F59" w:rsidTr="00F8603F">
        <w:trPr>
          <w:trHeight w:val="528"/>
        </w:trPr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6202" w:rsidRPr="00F43F59" w:rsidRDefault="008B6202" w:rsidP="008B6202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6202" w:rsidRPr="00F43F59" w:rsidRDefault="008B6202" w:rsidP="008B620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6202" w:rsidRPr="00F43F59" w:rsidRDefault="008B6202" w:rsidP="008B620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6202" w:rsidRPr="00F43F59" w:rsidRDefault="008B6202" w:rsidP="008B620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</w:tr>
      <w:tr w:rsidR="008B6202" w:rsidRPr="00F43F59" w:rsidTr="00F8603F">
        <w:trPr>
          <w:trHeight w:val="542"/>
        </w:trPr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6202" w:rsidRPr="00F43F59" w:rsidRDefault="008B6202" w:rsidP="008B6202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6202" w:rsidRPr="00F43F59" w:rsidRDefault="008B6202" w:rsidP="008B620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6202" w:rsidRPr="00F43F59" w:rsidRDefault="008B6202" w:rsidP="008B620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6202" w:rsidRPr="00F43F59" w:rsidRDefault="008B6202" w:rsidP="008B620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</w:tr>
    </w:tbl>
    <w:p w:rsidR="00014684" w:rsidRDefault="00014684">
      <w:pPr>
        <w:pStyle w:val="BodyText"/>
        <w:rPr>
          <w:b/>
          <w:sz w:val="32"/>
        </w:rPr>
      </w:pPr>
    </w:p>
    <w:p w:rsidR="006D2A39" w:rsidRPr="00EF6E3A" w:rsidRDefault="006D2A39">
      <w:pPr>
        <w:pStyle w:val="BodyText"/>
        <w:rPr>
          <w:b/>
          <w:sz w:val="32"/>
        </w:rPr>
      </w:pPr>
    </w:p>
    <w:tbl>
      <w:tblPr>
        <w:tblStyle w:val="TableNormal1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3883"/>
        <w:gridCol w:w="4782"/>
      </w:tblGrid>
      <w:tr w:rsidR="00014684" w:rsidRPr="00EF6E3A">
        <w:trPr>
          <w:trHeight w:val="1147"/>
        </w:trPr>
        <w:tc>
          <w:tcPr>
            <w:tcW w:w="3883" w:type="dxa"/>
          </w:tcPr>
          <w:p w:rsidR="00014684" w:rsidRDefault="00A81EF6">
            <w:pPr>
              <w:pStyle w:val="TableParagraph"/>
              <w:ind w:left="200"/>
              <w:jc w:val="left"/>
              <w:rPr>
                <w:b/>
              </w:rPr>
            </w:pPr>
            <w:r>
              <w:rPr>
                <w:b/>
              </w:rPr>
              <w:t>Контакты для инвесторов</w:t>
            </w:r>
            <w:r w:rsidR="00DB113E" w:rsidRPr="00EF6E3A">
              <w:rPr>
                <w:b/>
              </w:rPr>
              <w:t xml:space="preserve"> </w:t>
            </w:r>
            <w:r w:rsidR="00DB113E">
              <w:rPr>
                <w:b/>
              </w:rPr>
              <w:t>и СМИ</w:t>
            </w:r>
            <w:r>
              <w:rPr>
                <w:b/>
              </w:rPr>
              <w:t>:</w:t>
            </w:r>
          </w:p>
          <w:p w:rsidR="00055C79" w:rsidRDefault="00055C79">
            <w:pPr>
              <w:pStyle w:val="TableParagraph"/>
              <w:ind w:left="200"/>
              <w:jc w:val="left"/>
              <w:rPr>
                <w:b/>
              </w:rPr>
            </w:pPr>
          </w:p>
          <w:p w:rsidR="00055C79" w:rsidRDefault="00DB113E" w:rsidP="0007257A">
            <w:pPr>
              <w:pStyle w:val="TableParagraph"/>
              <w:ind w:left="200"/>
              <w:jc w:val="left"/>
            </w:pPr>
            <w:r>
              <w:t>Мария Степанова</w:t>
            </w:r>
          </w:p>
          <w:p w:rsidR="00055C79" w:rsidRDefault="00055C79" w:rsidP="0007257A">
            <w:pPr>
              <w:pStyle w:val="TableParagraph"/>
              <w:ind w:left="200"/>
              <w:jc w:val="left"/>
            </w:pPr>
            <w:r>
              <w:t>+7 495 137 88</w:t>
            </w:r>
            <w:r w:rsidR="00F55603">
              <w:t xml:space="preserve"> </w:t>
            </w:r>
            <w:r>
              <w:t>88</w:t>
            </w:r>
          </w:p>
          <w:p w:rsidR="00055C79" w:rsidRPr="00BE7120" w:rsidRDefault="00055C79" w:rsidP="00055C79">
            <w:pPr>
              <w:pStyle w:val="TableParagraph"/>
              <w:spacing w:line="240" w:lineRule="auto"/>
              <w:ind w:left="200"/>
              <w:jc w:val="left"/>
            </w:pPr>
            <w:r w:rsidRPr="0007257A">
              <w:rPr>
                <w:lang w:val="en-US"/>
              </w:rPr>
              <w:t>E</w:t>
            </w:r>
            <w:r w:rsidRPr="00BE7120">
              <w:t>-</w:t>
            </w:r>
            <w:r w:rsidRPr="0007257A">
              <w:rPr>
                <w:lang w:val="en-US"/>
              </w:rPr>
              <w:t>mail</w:t>
            </w:r>
            <w:r w:rsidRPr="00BE7120">
              <w:t xml:space="preserve">: </w:t>
            </w:r>
            <w:r w:rsidR="00DB113E">
              <w:rPr>
                <w:lang w:val="en-US"/>
              </w:rPr>
              <w:t>maria</w:t>
            </w:r>
            <w:r w:rsidR="00DB113E" w:rsidRPr="00BE7120">
              <w:t>.</w:t>
            </w:r>
            <w:r w:rsidR="00DB113E">
              <w:rPr>
                <w:lang w:val="en-US"/>
              </w:rPr>
              <w:t>stepanova</w:t>
            </w:r>
            <w:r w:rsidRPr="00BE7120">
              <w:t>@</w:t>
            </w:r>
            <w:r w:rsidRPr="0007257A">
              <w:rPr>
                <w:lang w:val="en-US"/>
              </w:rPr>
              <w:t>gt</w:t>
            </w:r>
            <w:r w:rsidRPr="00BE7120">
              <w:t>-</w:t>
            </w:r>
            <w:r w:rsidRPr="0007257A">
              <w:rPr>
                <w:lang w:val="en-US"/>
              </w:rPr>
              <w:t>m</w:t>
            </w:r>
            <w:r w:rsidRPr="00BE7120">
              <w:t>.</w:t>
            </w:r>
            <w:r w:rsidRPr="0007257A">
              <w:rPr>
                <w:lang w:val="en-US"/>
              </w:rPr>
              <w:t>ru</w:t>
            </w:r>
          </w:p>
          <w:p w:rsidR="00014684" w:rsidRPr="00BE7120" w:rsidRDefault="00014684">
            <w:pPr>
              <w:pStyle w:val="TableParagraph"/>
              <w:spacing w:line="245" w:lineRule="exact"/>
              <w:ind w:left="200"/>
              <w:jc w:val="left"/>
            </w:pPr>
          </w:p>
        </w:tc>
        <w:tc>
          <w:tcPr>
            <w:tcW w:w="4782" w:type="dxa"/>
          </w:tcPr>
          <w:p w:rsidR="00014684" w:rsidRPr="00BE7120" w:rsidRDefault="00DB113E" w:rsidP="00EF6E3A">
            <w:pPr>
              <w:pStyle w:val="TableParagraph"/>
              <w:ind w:left="987"/>
              <w:jc w:val="left"/>
            </w:pPr>
            <w:r w:rsidRPr="00BE7120" w:rsidDel="00DB113E">
              <w:rPr>
                <w:b/>
              </w:rPr>
              <w:t xml:space="preserve"> </w:t>
            </w:r>
          </w:p>
        </w:tc>
      </w:tr>
    </w:tbl>
    <w:p w:rsidR="00014684" w:rsidRDefault="00A81EF6">
      <w:pPr>
        <w:spacing w:before="56"/>
        <w:ind w:left="302"/>
        <w:rPr>
          <w:i/>
        </w:rPr>
      </w:pPr>
      <w:r>
        <w:rPr>
          <w:i/>
        </w:rPr>
        <w:t>Примечание: неточности расчетов в данном пресс-релизе объясняются эффектом округления.</w:t>
      </w:r>
    </w:p>
    <w:p w:rsidR="00A0467D" w:rsidRDefault="00A0467D">
      <w:pPr>
        <w:pStyle w:val="BodyText"/>
        <w:spacing w:before="11"/>
        <w:rPr>
          <w:i/>
          <w:sz w:val="28"/>
        </w:rPr>
      </w:pPr>
    </w:p>
    <w:p w:rsidR="00A0467D" w:rsidRDefault="00A0467D">
      <w:pPr>
        <w:pStyle w:val="BodyText"/>
        <w:spacing w:before="11"/>
        <w:rPr>
          <w:i/>
          <w:sz w:val="28"/>
        </w:rPr>
      </w:pPr>
    </w:p>
    <w:p w:rsidR="00A0467D" w:rsidRDefault="00A0467D">
      <w:pPr>
        <w:pStyle w:val="BodyText"/>
        <w:spacing w:before="11"/>
        <w:rPr>
          <w:i/>
          <w:sz w:val="28"/>
        </w:rPr>
      </w:pPr>
    </w:p>
    <w:p w:rsidR="00A0467D" w:rsidRDefault="00A0467D">
      <w:pPr>
        <w:pStyle w:val="BodyText"/>
        <w:spacing w:before="11"/>
        <w:rPr>
          <w:i/>
          <w:sz w:val="28"/>
        </w:rPr>
      </w:pPr>
    </w:p>
    <w:p w:rsidR="00A0467D" w:rsidRDefault="00A0467D">
      <w:pPr>
        <w:pStyle w:val="BodyText"/>
        <w:spacing w:before="11"/>
        <w:rPr>
          <w:i/>
          <w:sz w:val="28"/>
        </w:rPr>
      </w:pPr>
    </w:p>
    <w:p w:rsidR="00A0467D" w:rsidRDefault="00A0467D">
      <w:pPr>
        <w:pStyle w:val="BodyText"/>
        <w:spacing w:before="11"/>
        <w:rPr>
          <w:i/>
          <w:sz w:val="28"/>
        </w:rPr>
      </w:pPr>
    </w:p>
    <w:p w:rsidR="00A0467D" w:rsidRDefault="00A0467D">
      <w:pPr>
        <w:pStyle w:val="BodyText"/>
        <w:spacing w:before="11"/>
        <w:rPr>
          <w:i/>
          <w:sz w:val="28"/>
        </w:rPr>
      </w:pPr>
    </w:p>
    <w:p w:rsidR="00A0467D" w:rsidRDefault="00A0467D">
      <w:pPr>
        <w:pStyle w:val="BodyText"/>
        <w:spacing w:before="11"/>
        <w:rPr>
          <w:i/>
          <w:sz w:val="28"/>
        </w:rPr>
      </w:pPr>
    </w:p>
    <w:p w:rsidR="00A0467D" w:rsidRDefault="00A0467D">
      <w:pPr>
        <w:pStyle w:val="BodyText"/>
        <w:spacing w:before="11"/>
        <w:rPr>
          <w:i/>
          <w:sz w:val="28"/>
        </w:rPr>
      </w:pPr>
    </w:p>
    <w:p w:rsidR="00A0467D" w:rsidRDefault="00A0467D">
      <w:pPr>
        <w:pStyle w:val="BodyText"/>
        <w:spacing w:before="11"/>
        <w:rPr>
          <w:i/>
          <w:sz w:val="28"/>
        </w:rPr>
      </w:pPr>
    </w:p>
    <w:p w:rsidR="00A0467D" w:rsidRDefault="00A0467D">
      <w:pPr>
        <w:pStyle w:val="BodyText"/>
        <w:spacing w:before="11"/>
        <w:rPr>
          <w:i/>
          <w:sz w:val="28"/>
        </w:rPr>
      </w:pPr>
    </w:p>
    <w:p w:rsidR="00A0467D" w:rsidRDefault="00A0467D">
      <w:pPr>
        <w:pStyle w:val="BodyText"/>
        <w:spacing w:before="11"/>
        <w:rPr>
          <w:i/>
          <w:sz w:val="28"/>
        </w:rPr>
      </w:pPr>
    </w:p>
    <w:p w:rsidR="00A0467D" w:rsidRDefault="00A0467D">
      <w:pPr>
        <w:pStyle w:val="BodyText"/>
        <w:spacing w:before="11"/>
        <w:rPr>
          <w:i/>
          <w:sz w:val="28"/>
        </w:rPr>
      </w:pPr>
    </w:p>
    <w:p w:rsidR="006D2A39" w:rsidRDefault="006D2A39">
      <w:pPr>
        <w:pStyle w:val="BodyText"/>
        <w:spacing w:before="11"/>
        <w:rPr>
          <w:i/>
          <w:sz w:val="28"/>
        </w:rPr>
      </w:pPr>
    </w:p>
    <w:p w:rsidR="00014684" w:rsidRDefault="0094494B">
      <w:pPr>
        <w:pStyle w:val="BodyText"/>
        <w:spacing w:before="11"/>
        <w:rPr>
          <w:i/>
          <w:sz w:val="28"/>
        </w:rPr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63A7C378" wp14:editId="3602CB01">
                <wp:simplePos x="0" y="0"/>
                <wp:positionH relativeFrom="page">
                  <wp:posOffset>1080770</wp:posOffset>
                </wp:positionH>
                <wp:positionV relativeFrom="paragraph">
                  <wp:posOffset>252730</wp:posOffset>
                </wp:positionV>
                <wp:extent cx="1828800" cy="0"/>
                <wp:effectExtent l="0" t="0" r="0" b="0"/>
                <wp:wrapTopAndBottom/>
                <wp:docPr id="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37D0C9" id="Line 3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9.9pt" to="229.1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" strokeweight=".6pt">
                <w10:wrap type="topAndBottom" anchorx="page"/>
              </v:line>
            </w:pict>
          </mc:Fallback>
        </mc:AlternateContent>
      </w:r>
    </w:p>
    <w:p w:rsidR="00606B06" w:rsidRDefault="00606B06" w:rsidP="00B1230D">
      <w:pPr>
        <w:spacing w:before="73"/>
        <w:ind w:left="302" w:right="317"/>
        <w:jc w:val="both"/>
        <w:rPr>
          <w:sz w:val="20"/>
        </w:rPr>
      </w:pPr>
      <w:r w:rsidRPr="00606B06">
        <w:rPr>
          <w:sz w:val="20"/>
        </w:rPr>
        <w:t xml:space="preserve">Руководство полагает, что скорректированный показатель EBITDA является удобным инструментом для оценки эффективности операционной деятельности Группы, поскольку отражает динамику прибыли без учета влияния некоторых начислений. </w:t>
      </w:r>
      <w:r>
        <w:rPr>
          <w:sz w:val="20"/>
        </w:rPr>
        <w:t xml:space="preserve">Скорректированный </w:t>
      </w:r>
      <w:r w:rsidRPr="00606B06">
        <w:rPr>
          <w:sz w:val="20"/>
        </w:rPr>
        <w:t>EBITDA</w:t>
      </w:r>
      <w:r>
        <w:rPr>
          <w:sz w:val="20"/>
        </w:rPr>
        <w:t xml:space="preserve"> за </w:t>
      </w:r>
      <w:r w:rsidRPr="00606B06">
        <w:rPr>
          <w:sz w:val="20"/>
        </w:rPr>
        <w:t>определяется как доходы до вычета процентов, расходов по налогу на прибыль, амортизации основных средств и нематериальных активов, прибыли (убытка) от курсовых разниц. EBITDA является дополнительным финансовым показателем, не предусмотренным МСФО, который используется руков</w:t>
      </w:r>
      <w:r>
        <w:rPr>
          <w:sz w:val="20"/>
        </w:rPr>
        <w:t>одством для оценки деятельности</w:t>
      </w:r>
      <w:r w:rsidRPr="00606B06">
        <w:rPr>
          <w:sz w:val="20"/>
        </w:rPr>
        <w:t>.</w:t>
      </w:r>
    </w:p>
    <w:p w:rsidR="00014684" w:rsidRDefault="00014684">
      <w:pPr>
        <w:jc w:val="both"/>
        <w:rPr>
          <w:sz w:val="20"/>
        </w:rPr>
        <w:sectPr w:rsidR="00014684">
          <w:footerReference w:type="default" r:id="rId10"/>
          <w:pgSz w:w="11910" w:h="16840"/>
          <w:pgMar w:top="1080" w:right="660" w:bottom="500" w:left="1400" w:header="0" w:footer="308" w:gutter="0"/>
          <w:pgNumType w:start="3"/>
          <w:cols w:space="720"/>
        </w:sectPr>
      </w:pPr>
    </w:p>
    <w:p w:rsidR="00E034FE" w:rsidRPr="00087D60" w:rsidRDefault="00E034FE" w:rsidP="00E034FE">
      <w:pPr>
        <w:pStyle w:val="Heading1"/>
        <w:spacing w:before="33"/>
      </w:pPr>
      <w:r w:rsidRPr="00087D60">
        <w:t>ПРИМЕЧАНИЯ ДЛЯ РЕДАКТОРОВ</w:t>
      </w:r>
    </w:p>
    <w:p w:rsidR="000F75ED" w:rsidRDefault="00E034FE" w:rsidP="000F75ED">
      <w:pPr>
        <w:pStyle w:val="BodyText"/>
        <w:spacing w:before="118"/>
        <w:ind w:left="302" w:right="187"/>
        <w:jc w:val="both"/>
      </w:pPr>
      <w:r w:rsidRPr="00087D60">
        <w:rPr>
          <w:b/>
        </w:rPr>
        <w:t>Globaltruck</w:t>
      </w:r>
      <w:r w:rsidR="000F75ED">
        <w:rPr>
          <w:b/>
        </w:rPr>
        <w:t xml:space="preserve"> </w:t>
      </w:r>
      <w:r w:rsidR="000F75ED">
        <w:t>– один из ведущих автомобильных грузов</w:t>
      </w:r>
      <w:r w:rsidR="00AE7009">
        <w:t>ых FTL-перевозчиков и</w:t>
      </w:r>
      <w:r w:rsidR="005D035C">
        <w:t xml:space="preserve"> </w:t>
      </w:r>
      <w:r w:rsidR="000F75ED">
        <w:t>крупнейших грузоперевозчиков по объему выручки и количеству транспортных единиц</w:t>
      </w:r>
      <w:r w:rsidR="00AE7009">
        <w:t xml:space="preserve"> в РФ</w:t>
      </w:r>
      <w:r w:rsidR="000F75ED">
        <w:t>.</w:t>
      </w:r>
    </w:p>
    <w:p w:rsidR="000F75ED" w:rsidRDefault="000F75ED" w:rsidP="000F75ED">
      <w:pPr>
        <w:pStyle w:val="BodyText"/>
        <w:spacing w:before="118"/>
        <w:ind w:left="302" w:right="187"/>
        <w:jc w:val="both"/>
      </w:pPr>
      <w:r>
        <w:t>Globaltruck осуществляет грузовые перевозки по российским и международным маршрутам, а также оказывает услуги по экспедированию грузов. 16 подразделений Globaltruck расположены в Екатеринбурге, Новосибирске, Магнитогорске, Ногинске (Московская область), Перми, Омске, Челябинске, Самаре, Уфе, Чебоксарах, Тюмени, Краснодаре, Ростове-на-Дону, Елабуге, Ельце, Санкт-Петербурге. Компания имеет сертифицированные центры технического обслуживания и ремонта, расположенных на ключевых маршрутах.</w:t>
      </w:r>
    </w:p>
    <w:p w:rsidR="000F75ED" w:rsidRDefault="000F75ED" w:rsidP="000F75ED">
      <w:pPr>
        <w:pStyle w:val="BodyText"/>
        <w:spacing w:before="118"/>
        <w:ind w:left="302" w:right="187"/>
        <w:jc w:val="both"/>
      </w:pPr>
      <w:r>
        <w:t>Маршрутная сеть Globaltruck охватывает центральные регионы России,</w:t>
      </w:r>
      <w:r w:rsidR="005D035C">
        <w:t xml:space="preserve"> Юг, Северо-Запад,</w:t>
      </w:r>
      <w:r>
        <w:t xml:space="preserve"> Урал, Сибирь, Дальний Восток, кроме того, компания осуществляет </w:t>
      </w:r>
      <w:r w:rsidR="005D035C">
        <w:t>доставку грузов между Россией и странами СНГ</w:t>
      </w:r>
      <w:r>
        <w:t>. Globaltruck обслуживает около тысячи клиентов, в число которых входят компании секторов розничной торговли, FMCG, промышленные холдинги, компании сектора электронной коммерции и доставки посылок (e-commerce &amp; parcel).</w:t>
      </w:r>
    </w:p>
    <w:p w:rsidR="00E034FE" w:rsidRDefault="00E034FE" w:rsidP="003351CB">
      <w:pPr>
        <w:pStyle w:val="BodyText"/>
        <w:spacing w:before="118"/>
        <w:ind w:left="302" w:right="187"/>
        <w:jc w:val="both"/>
      </w:pPr>
    </w:p>
    <w:p w:rsidR="00014684" w:rsidRDefault="00014684">
      <w:pPr>
        <w:pStyle w:val="BodyText"/>
        <w:rPr>
          <w:sz w:val="20"/>
        </w:rPr>
      </w:pPr>
    </w:p>
    <w:p w:rsidR="00014684" w:rsidRDefault="00014684">
      <w:pPr>
        <w:pStyle w:val="BodyText"/>
        <w:rPr>
          <w:sz w:val="20"/>
        </w:rPr>
      </w:pPr>
    </w:p>
    <w:p w:rsidR="00014684" w:rsidRDefault="00014684">
      <w:pPr>
        <w:pStyle w:val="BodyText"/>
        <w:rPr>
          <w:sz w:val="20"/>
        </w:rPr>
      </w:pPr>
    </w:p>
    <w:p w:rsidR="00014684" w:rsidRDefault="00014684">
      <w:pPr>
        <w:pStyle w:val="BodyText"/>
        <w:rPr>
          <w:sz w:val="20"/>
        </w:rPr>
      </w:pPr>
    </w:p>
    <w:p w:rsidR="00014684" w:rsidRDefault="00014684">
      <w:pPr>
        <w:pStyle w:val="BodyText"/>
        <w:rPr>
          <w:sz w:val="20"/>
        </w:rPr>
      </w:pPr>
    </w:p>
    <w:p w:rsidR="00014684" w:rsidRDefault="00014684">
      <w:pPr>
        <w:pStyle w:val="BodyText"/>
        <w:rPr>
          <w:sz w:val="20"/>
        </w:rPr>
      </w:pPr>
    </w:p>
    <w:p w:rsidR="00014684" w:rsidRDefault="00014684">
      <w:pPr>
        <w:pStyle w:val="BodyText"/>
        <w:rPr>
          <w:sz w:val="20"/>
        </w:rPr>
      </w:pPr>
    </w:p>
    <w:p w:rsidR="00014684" w:rsidRDefault="00014684">
      <w:pPr>
        <w:pStyle w:val="BodyText"/>
        <w:rPr>
          <w:sz w:val="20"/>
        </w:rPr>
      </w:pPr>
    </w:p>
    <w:p w:rsidR="00014684" w:rsidRDefault="00014684">
      <w:pPr>
        <w:pStyle w:val="BodyText"/>
        <w:rPr>
          <w:sz w:val="20"/>
        </w:rPr>
      </w:pPr>
    </w:p>
    <w:p w:rsidR="00014684" w:rsidRDefault="00014684">
      <w:pPr>
        <w:pStyle w:val="BodyText"/>
        <w:rPr>
          <w:sz w:val="20"/>
        </w:rPr>
      </w:pPr>
    </w:p>
    <w:p w:rsidR="00014684" w:rsidRDefault="00014684">
      <w:pPr>
        <w:pStyle w:val="BodyText"/>
        <w:rPr>
          <w:sz w:val="20"/>
        </w:rPr>
      </w:pPr>
    </w:p>
    <w:p w:rsidR="00014684" w:rsidRDefault="00014684">
      <w:pPr>
        <w:pStyle w:val="BodyText"/>
        <w:rPr>
          <w:sz w:val="20"/>
        </w:rPr>
      </w:pPr>
    </w:p>
    <w:p w:rsidR="00014684" w:rsidRDefault="00014684">
      <w:pPr>
        <w:pStyle w:val="BodyText"/>
        <w:rPr>
          <w:sz w:val="20"/>
        </w:rPr>
      </w:pPr>
    </w:p>
    <w:p w:rsidR="00014684" w:rsidRDefault="00014684">
      <w:pPr>
        <w:pStyle w:val="BodyText"/>
        <w:rPr>
          <w:sz w:val="20"/>
        </w:rPr>
      </w:pPr>
    </w:p>
    <w:p w:rsidR="00014684" w:rsidRDefault="00014684">
      <w:pPr>
        <w:pStyle w:val="BodyText"/>
        <w:rPr>
          <w:sz w:val="20"/>
        </w:rPr>
      </w:pPr>
    </w:p>
    <w:p w:rsidR="00014684" w:rsidRDefault="00014684">
      <w:pPr>
        <w:pStyle w:val="BodyText"/>
        <w:rPr>
          <w:sz w:val="20"/>
        </w:rPr>
      </w:pPr>
    </w:p>
    <w:p w:rsidR="00014684" w:rsidRDefault="00014684">
      <w:pPr>
        <w:pStyle w:val="BodyText"/>
        <w:rPr>
          <w:sz w:val="20"/>
        </w:rPr>
      </w:pPr>
    </w:p>
    <w:p w:rsidR="00014684" w:rsidRDefault="00014684">
      <w:pPr>
        <w:pStyle w:val="BodyText"/>
        <w:rPr>
          <w:sz w:val="20"/>
        </w:rPr>
      </w:pPr>
    </w:p>
    <w:p w:rsidR="00014684" w:rsidRDefault="00014684">
      <w:pPr>
        <w:pStyle w:val="BodyText"/>
        <w:rPr>
          <w:sz w:val="20"/>
        </w:rPr>
      </w:pPr>
    </w:p>
    <w:p w:rsidR="00014684" w:rsidRDefault="00014684">
      <w:pPr>
        <w:pStyle w:val="BodyText"/>
        <w:rPr>
          <w:sz w:val="20"/>
        </w:rPr>
      </w:pPr>
    </w:p>
    <w:p w:rsidR="00014684" w:rsidRDefault="00014684">
      <w:pPr>
        <w:pStyle w:val="BodyText"/>
        <w:rPr>
          <w:sz w:val="20"/>
        </w:rPr>
      </w:pPr>
    </w:p>
    <w:p w:rsidR="00014684" w:rsidRDefault="00014684">
      <w:pPr>
        <w:pStyle w:val="BodyText"/>
        <w:rPr>
          <w:sz w:val="20"/>
        </w:rPr>
      </w:pPr>
    </w:p>
    <w:p w:rsidR="00014684" w:rsidRDefault="00014684">
      <w:pPr>
        <w:pStyle w:val="BodyText"/>
        <w:rPr>
          <w:sz w:val="20"/>
        </w:rPr>
      </w:pPr>
    </w:p>
    <w:p w:rsidR="00014684" w:rsidRDefault="00014684">
      <w:pPr>
        <w:pStyle w:val="BodyText"/>
        <w:rPr>
          <w:sz w:val="20"/>
        </w:rPr>
      </w:pPr>
    </w:p>
    <w:p w:rsidR="00014684" w:rsidRDefault="00014684">
      <w:pPr>
        <w:pStyle w:val="BodyText"/>
        <w:rPr>
          <w:sz w:val="20"/>
        </w:rPr>
      </w:pPr>
    </w:p>
    <w:p w:rsidR="00014684" w:rsidRDefault="00014684">
      <w:pPr>
        <w:pStyle w:val="BodyText"/>
        <w:rPr>
          <w:sz w:val="20"/>
        </w:rPr>
      </w:pPr>
    </w:p>
    <w:p w:rsidR="00014684" w:rsidRDefault="00014684">
      <w:pPr>
        <w:pStyle w:val="BodyText"/>
        <w:rPr>
          <w:sz w:val="20"/>
        </w:rPr>
      </w:pPr>
    </w:p>
    <w:p w:rsidR="00014684" w:rsidRDefault="00014684">
      <w:pPr>
        <w:pStyle w:val="BodyText"/>
        <w:rPr>
          <w:sz w:val="20"/>
        </w:rPr>
      </w:pPr>
    </w:p>
    <w:p w:rsidR="00014684" w:rsidRDefault="00014684">
      <w:pPr>
        <w:pStyle w:val="BodyText"/>
        <w:rPr>
          <w:sz w:val="20"/>
        </w:rPr>
      </w:pPr>
    </w:p>
    <w:p w:rsidR="00014684" w:rsidRDefault="00014684">
      <w:pPr>
        <w:pStyle w:val="BodyText"/>
        <w:rPr>
          <w:sz w:val="20"/>
        </w:rPr>
      </w:pPr>
    </w:p>
    <w:p w:rsidR="00014684" w:rsidRDefault="00014684">
      <w:pPr>
        <w:pStyle w:val="BodyText"/>
        <w:rPr>
          <w:sz w:val="20"/>
        </w:rPr>
      </w:pPr>
    </w:p>
    <w:p w:rsidR="00014684" w:rsidRDefault="0094494B">
      <w:pPr>
        <w:pStyle w:val="BodyText"/>
        <w:spacing w:before="1"/>
        <w:rPr>
          <w:sz w:val="26"/>
        </w:rPr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432BB3C" wp14:editId="4945A66B">
                <wp:simplePos x="0" y="0"/>
                <wp:positionH relativeFrom="page">
                  <wp:posOffset>1080770</wp:posOffset>
                </wp:positionH>
                <wp:positionV relativeFrom="paragraph">
                  <wp:posOffset>231140</wp:posOffset>
                </wp:positionV>
                <wp:extent cx="1828800" cy="0"/>
                <wp:effectExtent l="0" t="0" r="0" b="0"/>
                <wp:wrapTopAndBottom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762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F68F9E" id="Line 2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8.2pt" to="229.1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" strokeweight=".21169mm">
                <w10:wrap type="topAndBottom" anchorx="page"/>
              </v:line>
            </w:pict>
          </mc:Fallback>
        </mc:AlternateContent>
      </w:r>
    </w:p>
    <w:p w:rsidR="00014684" w:rsidRDefault="00014684">
      <w:pPr>
        <w:spacing w:before="72"/>
        <w:ind w:left="302"/>
        <w:rPr>
          <w:sz w:val="20"/>
        </w:rPr>
      </w:pPr>
    </w:p>
    <w:sectPr w:rsidR="00014684">
      <w:pgSz w:w="11910" w:h="16840"/>
      <w:pgMar w:top="1080" w:right="660" w:bottom="500" w:left="1400" w:header="0" w:footer="3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6FDB" w:rsidRDefault="005B6FDB">
      <w:r>
        <w:separator/>
      </w:r>
    </w:p>
  </w:endnote>
  <w:endnote w:type="continuationSeparator" w:id="0">
    <w:p w:rsidR="005B6FDB" w:rsidRDefault="005B6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4684" w:rsidRDefault="0094494B">
    <w:pPr>
      <w:pStyle w:val="BodyText"/>
      <w:spacing w:line="14" w:lineRule="auto"/>
      <w:rPr>
        <w:sz w:val="20"/>
      </w:rPr>
    </w:pPr>
    <w:r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251300864" behindDoc="1" locked="0" layoutInCell="1" allowOverlap="1" wp14:anchorId="4551BE44" wp14:editId="6BFD06CD">
              <wp:simplePos x="0" y="0"/>
              <wp:positionH relativeFrom="page">
                <wp:posOffset>1068070</wp:posOffset>
              </wp:positionH>
              <wp:positionV relativeFrom="page">
                <wp:posOffset>9820910</wp:posOffset>
              </wp:positionV>
              <wp:extent cx="4688205" cy="462280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8205" cy="462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4684" w:rsidRDefault="00BB5222">
                          <w:pPr>
                            <w:spacing w:line="241" w:lineRule="exact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position w:val="7"/>
                              <w:sz w:val="13"/>
                            </w:rPr>
                            <w:t>1</w:t>
                          </w:r>
                          <w:r w:rsidR="00A81EF6" w:rsidRPr="00AA4D36">
                            <w:rPr>
                              <w:position w:val="7"/>
                              <w:sz w:val="13"/>
                            </w:rPr>
                            <w:t xml:space="preserve"> </w:t>
                          </w:r>
                          <w:r w:rsidR="00A81EF6" w:rsidRPr="00AA4D36">
                            <w:rPr>
                              <w:sz w:val="20"/>
                            </w:rPr>
                            <w:t>По данным управленческого учета Группы.</w:t>
                          </w:r>
                        </w:p>
                        <w:p w:rsidR="006F5364" w:rsidRPr="00AA4D36" w:rsidRDefault="006F5364" w:rsidP="006F5364">
                          <w:pPr>
                            <w:spacing w:line="241" w:lineRule="exact"/>
                            <w:ind w:left="20"/>
                            <w:rPr>
                              <w:sz w:val="20"/>
                            </w:rPr>
                          </w:pPr>
                        </w:p>
                        <w:p w:rsidR="00E1726C" w:rsidRPr="00AA4D36" w:rsidRDefault="00E1726C">
                          <w:pPr>
                            <w:spacing w:line="241" w:lineRule="exact"/>
                            <w:ind w:left="20"/>
                            <w:rPr>
                              <w:sz w:val="20"/>
                            </w:rPr>
                          </w:pPr>
                        </w:p>
                        <w:p w:rsidR="00AA4D36" w:rsidRDefault="00AA4D36">
                          <w:pPr>
                            <w:spacing w:line="241" w:lineRule="exact"/>
                            <w:ind w:left="20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51BE4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84.1pt;margin-top:773.3pt;width:369.15pt;height:36.4pt;z-index:-25201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" filled="f" stroked="f">
              <v:textbox inset="0,0,0,0">
                <w:txbxContent>
                  <w:p w:rsidR="00014684" w:rsidRDefault="00BB5222">
                    <w:pPr>
                      <w:spacing w:line="241" w:lineRule="exact"/>
                      <w:ind w:left="20"/>
                      <w:rPr>
                        <w:sz w:val="20"/>
                      </w:rPr>
                    </w:pPr>
                    <w:r>
                      <w:rPr>
                        <w:position w:val="7"/>
                        <w:sz w:val="13"/>
                      </w:rPr>
                      <w:t>1</w:t>
                    </w:r>
                    <w:r w:rsidR="00A81EF6" w:rsidRPr="00AA4D36">
                      <w:rPr>
                        <w:position w:val="7"/>
                        <w:sz w:val="13"/>
                      </w:rPr>
                      <w:t xml:space="preserve"> </w:t>
                    </w:r>
                    <w:r w:rsidR="00A81EF6" w:rsidRPr="00AA4D36">
                      <w:rPr>
                        <w:sz w:val="20"/>
                      </w:rPr>
                      <w:t>По данным управленческого учета Группы.</w:t>
                    </w:r>
                  </w:p>
                  <w:p w:rsidR="006F5364" w:rsidRPr="00AA4D36" w:rsidRDefault="006F5364" w:rsidP="006F5364">
                    <w:pPr>
                      <w:spacing w:line="241" w:lineRule="exact"/>
                      <w:ind w:left="20"/>
                      <w:rPr>
                        <w:sz w:val="20"/>
                      </w:rPr>
                    </w:pPr>
                  </w:p>
                  <w:p w:rsidR="00E1726C" w:rsidRPr="00AA4D36" w:rsidRDefault="00E1726C">
                    <w:pPr>
                      <w:spacing w:line="241" w:lineRule="exact"/>
                      <w:ind w:left="20"/>
                      <w:rPr>
                        <w:sz w:val="20"/>
                      </w:rPr>
                    </w:pPr>
                  </w:p>
                  <w:p w:rsidR="00AA4D36" w:rsidRDefault="00AA4D36">
                    <w:pPr>
                      <w:spacing w:line="241" w:lineRule="exact"/>
                      <w:ind w:left="20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251299840" behindDoc="1" locked="0" layoutInCell="1" allowOverlap="1" wp14:anchorId="64FAC6FA" wp14:editId="03B0633A">
              <wp:simplePos x="0" y="0"/>
              <wp:positionH relativeFrom="page">
                <wp:posOffset>1080770</wp:posOffset>
              </wp:positionH>
              <wp:positionV relativeFrom="page">
                <wp:posOffset>9747885</wp:posOffset>
              </wp:positionV>
              <wp:extent cx="1828800" cy="0"/>
              <wp:effectExtent l="0" t="0" r="0" b="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828800" cy="0"/>
                      </a:xfrm>
                      <a:prstGeom prst="line">
                        <a:avLst/>
                      </a:prstGeom>
                      <a:noFill/>
                      <a:ln w="7621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5157CC" id="Line 4" o:spid="_x0000_s1026" style="position:absolute;z-index:-252016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5.1pt,767.55pt" to="229.1pt,76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" strokeweight=".21169mm">
              <w10:wrap anchorx="page" anchory="page"/>
            </v:line>
          </w:pict>
        </mc:Fallback>
      </mc:AlternateContent>
    </w:r>
    <w:r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251301888" behindDoc="1" locked="0" layoutInCell="1" allowOverlap="1" wp14:anchorId="20DB6BF5" wp14:editId="1CC95F36">
              <wp:simplePos x="0" y="0"/>
              <wp:positionH relativeFrom="page">
                <wp:posOffset>6708775</wp:posOffset>
              </wp:positionH>
              <wp:positionV relativeFrom="page">
                <wp:posOffset>10356850</wp:posOffset>
              </wp:positionV>
              <wp:extent cx="327025" cy="16827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7025" cy="168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4684" w:rsidRDefault="00A81EF6">
                          <w:pPr>
                            <w:spacing w:before="19"/>
                            <w:ind w:left="40"/>
                            <w:rPr>
                              <w:rFonts w:ascii="Garamond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Garamond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C611D">
                            <w:rPr>
                              <w:rFonts w:ascii="Garamond"/>
                              <w:noProof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0DB6BF5" id="Text Box 2" o:spid="_x0000_s1027" type="#_x0000_t202" style="position:absolute;margin-left:528.25pt;margin-top:815.5pt;width:25.75pt;height:13.25pt;z-index:-252014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jZVrwIAAK8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" filled="f" stroked="f">
              <v:textbox inset="0,0,0,0">
                <w:txbxContent>
                  <w:p w:rsidR="00014684" w:rsidRDefault="00A81EF6">
                    <w:pPr>
                      <w:spacing w:before="19"/>
                      <w:ind w:left="40"/>
                      <w:rPr>
                        <w:rFonts w:ascii="Garamond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Garamond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C611D">
                      <w:rPr>
                        <w:rFonts w:ascii="Garamond"/>
                        <w:noProof/>
                        <w:sz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4684" w:rsidRDefault="0094494B">
    <w:pPr>
      <w:pStyle w:val="BodyText"/>
      <w:spacing w:line="14" w:lineRule="auto"/>
      <w:rPr>
        <w:sz w:val="20"/>
      </w:rPr>
    </w:pPr>
    <w:r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251302912" behindDoc="1" locked="0" layoutInCell="1" allowOverlap="1" wp14:anchorId="74565FD9" wp14:editId="30A801BE">
              <wp:simplePos x="0" y="0"/>
              <wp:positionH relativeFrom="page">
                <wp:posOffset>6708775</wp:posOffset>
              </wp:positionH>
              <wp:positionV relativeFrom="page">
                <wp:posOffset>10356850</wp:posOffset>
              </wp:positionV>
              <wp:extent cx="327025" cy="16827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7025" cy="168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4684" w:rsidRDefault="00A81EF6">
                          <w:pPr>
                            <w:spacing w:before="19"/>
                            <w:ind w:left="40"/>
                            <w:rPr>
                              <w:rFonts w:ascii="Garamond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Garamond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C611D">
                            <w:rPr>
                              <w:rFonts w:ascii="Garamond"/>
                              <w:noProof/>
                              <w:sz w:val="20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565FD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28.25pt;margin-top:815.5pt;width:25.75pt;height:13.25pt;z-index:-252013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" filled="f" stroked="f">
              <v:textbox inset="0,0,0,0">
                <w:txbxContent>
                  <w:p w:rsidR="00014684" w:rsidRDefault="00A81EF6">
                    <w:pPr>
                      <w:spacing w:before="19"/>
                      <w:ind w:left="40"/>
                      <w:rPr>
                        <w:rFonts w:ascii="Garamond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Garamond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C611D">
                      <w:rPr>
                        <w:rFonts w:ascii="Garamond"/>
                        <w:noProof/>
                        <w:sz w:val="20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6FDB" w:rsidRDefault="005B6FDB">
      <w:r>
        <w:separator/>
      </w:r>
    </w:p>
  </w:footnote>
  <w:footnote w:type="continuationSeparator" w:id="0">
    <w:p w:rsidR="005B6FDB" w:rsidRDefault="005B6F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9D5DEA"/>
    <w:multiLevelType w:val="hybridMultilevel"/>
    <w:tmpl w:val="52CE25A0"/>
    <w:lvl w:ilvl="0" w:tplc="E8FC9392">
      <w:numFmt w:val="bullet"/>
      <w:lvlText w:val=""/>
      <w:lvlJc w:val="left"/>
      <w:pPr>
        <w:ind w:left="662" w:hanging="360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F16ECD98">
      <w:numFmt w:val="bullet"/>
      <w:lvlText w:val="•"/>
      <w:lvlJc w:val="left"/>
      <w:pPr>
        <w:ind w:left="1578" w:hanging="360"/>
      </w:pPr>
      <w:rPr>
        <w:rFonts w:hint="default"/>
        <w:lang w:val="ru-RU" w:eastAsia="ru-RU" w:bidi="ru-RU"/>
      </w:rPr>
    </w:lvl>
    <w:lvl w:ilvl="2" w:tplc="E13A05FA">
      <w:numFmt w:val="bullet"/>
      <w:lvlText w:val="•"/>
      <w:lvlJc w:val="left"/>
      <w:pPr>
        <w:ind w:left="2497" w:hanging="360"/>
      </w:pPr>
      <w:rPr>
        <w:rFonts w:hint="default"/>
        <w:lang w:val="ru-RU" w:eastAsia="ru-RU" w:bidi="ru-RU"/>
      </w:rPr>
    </w:lvl>
    <w:lvl w:ilvl="3" w:tplc="C2688FB6">
      <w:numFmt w:val="bullet"/>
      <w:lvlText w:val="•"/>
      <w:lvlJc w:val="left"/>
      <w:pPr>
        <w:ind w:left="3415" w:hanging="360"/>
      </w:pPr>
      <w:rPr>
        <w:rFonts w:hint="default"/>
        <w:lang w:val="ru-RU" w:eastAsia="ru-RU" w:bidi="ru-RU"/>
      </w:rPr>
    </w:lvl>
    <w:lvl w:ilvl="4" w:tplc="D8DAE30C">
      <w:numFmt w:val="bullet"/>
      <w:lvlText w:val="•"/>
      <w:lvlJc w:val="left"/>
      <w:pPr>
        <w:ind w:left="4334" w:hanging="360"/>
      </w:pPr>
      <w:rPr>
        <w:rFonts w:hint="default"/>
        <w:lang w:val="ru-RU" w:eastAsia="ru-RU" w:bidi="ru-RU"/>
      </w:rPr>
    </w:lvl>
    <w:lvl w:ilvl="5" w:tplc="D6007CCE">
      <w:numFmt w:val="bullet"/>
      <w:lvlText w:val="•"/>
      <w:lvlJc w:val="left"/>
      <w:pPr>
        <w:ind w:left="5253" w:hanging="360"/>
      </w:pPr>
      <w:rPr>
        <w:rFonts w:hint="default"/>
        <w:lang w:val="ru-RU" w:eastAsia="ru-RU" w:bidi="ru-RU"/>
      </w:rPr>
    </w:lvl>
    <w:lvl w:ilvl="6" w:tplc="50C2AAC2">
      <w:numFmt w:val="bullet"/>
      <w:lvlText w:val="•"/>
      <w:lvlJc w:val="left"/>
      <w:pPr>
        <w:ind w:left="6171" w:hanging="360"/>
      </w:pPr>
      <w:rPr>
        <w:rFonts w:hint="default"/>
        <w:lang w:val="ru-RU" w:eastAsia="ru-RU" w:bidi="ru-RU"/>
      </w:rPr>
    </w:lvl>
    <w:lvl w:ilvl="7" w:tplc="79923236">
      <w:numFmt w:val="bullet"/>
      <w:lvlText w:val="•"/>
      <w:lvlJc w:val="left"/>
      <w:pPr>
        <w:ind w:left="7090" w:hanging="360"/>
      </w:pPr>
      <w:rPr>
        <w:rFonts w:hint="default"/>
        <w:lang w:val="ru-RU" w:eastAsia="ru-RU" w:bidi="ru-RU"/>
      </w:rPr>
    </w:lvl>
    <w:lvl w:ilvl="8" w:tplc="B464FDD2">
      <w:numFmt w:val="bullet"/>
      <w:lvlText w:val="•"/>
      <w:lvlJc w:val="left"/>
      <w:pPr>
        <w:ind w:left="8009" w:hanging="360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684"/>
    <w:rsid w:val="0000469D"/>
    <w:rsid w:val="0001127B"/>
    <w:rsid w:val="00014684"/>
    <w:rsid w:val="00014BF9"/>
    <w:rsid w:val="00055633"/>
    <w:rsid w:val="00055C79"/>
    <w:rsid w:val="000567A1"/>
    <w:rsid w:val="0007257A"/>
    <w:rsid w:val="0007528B"/>
    <w:rsid w:val="00087D60"/>
    <w:rsid w:val="00095602"/>
    <w:rsid w:val="000A21C0"/>
    <w:rsid w:val="000B0283"/>
    <w:rsid w:val="000C0C49"/>
    <w:rsid w:val="000D1881"/>
    <w:rsid w:val="000F75ED"/>
    <w:rsid w:val="00104893"/>
    <w:rsid w:val="00126792"/>
    <w:rsid w:val="00131078"/>
    <w:rsid w:val="00186ED3"/>
    <w:rsid w:val="001C6B3D"/>
    <w:rsid w:val="001F0008"/>
    <w:rsid w:val="00204D82"/>
    <w:rsid w:val="00217CDB"/>
    <w:rsid w:val="0023084C"/>
    <w:rsid w:val="002327AC"/>
    <w:rsid w:val="00297750"/>
    <w:rsid w:val="002A6D4E"/>
    <w:rsid w:val="002C06B6"/>
    <w:rsid w:val="002C2753"/>
    <w:rsid w:val="002C47F3"/>
    <w:rsid w:val="002C766E"/>
    <w:rsid w:val="002D59AF"/>
    <w:rsid w:val="002E2E14"/>
    <w:rsid w:val="002E362D"/>
    <w:rsid w:val="002F5CCE"/>
    <w:rsid w:val="00300FEB"/>
    <w:rsid w:val="00321B44"/>
    <w:rsid w:val="0032731C"/>
    <w:rsid w:val="00330B3D"/>
    <w:rsid w:val="003351CB"/>
    <w:rsid w:val="00351C37"/>
    <w:rsid w:val="0036102F"/>
    <w:rsid w:val="00376729"/>
    <w:rsid w:val="00377D6E"/>
    <w:rsid w:val="00390FD0"/>
    <w:rsid w:val="003A0F13"/>
    <w:rsid w:val="003D40CA"/>
    <w:rsid w:val="003D52A7"/>
    <w:rsid w:val="003F5220"/>
    <w:rsid w:val="0040204B"/>
    <w:rsid w:val="004049E8"/>
    <w:rsid w:val="00404F7F"/>
    <w:rsid w:val="004170BA"/>
    <w:rsid w:val="004355A4"/>
    <w:rsid w:val="0045270D"/>
    <w:rsid w:val="00463F26"/>
    <w:rsid w:val="004646B9"/>
    <w:rsid w:val="00466D84"/>
    <w:rsid w:val="004679FB"/>
    <w:rsid w:val="004741A2"/>
    <w:rsid w:val="004A46F3"/>
    <w:rsid w:val="004A56AD"/>
    <w:rsid w:val="004B2A2A"/>
    <w:rsid w:val="004B3ED2"/>
    <w:rsid w:val="004B645A"/>
    <w:rsid w:val="00525003"/>
    <w:rsid w:val="0054108C"/>
    <w:rsid w:val="00564424"/>
    <w:rsid w:val="00575F6E"/>
    <w:rsid w:val="0058362C"/>
    <w:rsid w:val="005A3DA6"/>
    <w:rsid w:val="005B1AFC"/>
    <w:rsid w:val="005B6FDB"/>
    <w:rsid w:val="005C5F42"/>
    <w:rsid w:val="005D035C"/>
    <w:rsid w:val="005D12BD"/>
    <w:rsid w:val="005D1C34"/>
    <w:rsid w:val="005F7FA1"/>
    <w:rsid w:val="00606B06"/>
    <w:rsid w:val="006075CB"/>
    <w:rsid w:val="00626486"/>
    <w:rsid w:val="00656EA2"/>
    <w:rsid w:val="00665766"/>
    <w:rsid w:val="00672DF6"/>
    <w:rsid w:val="00681996"/>
    <w:rsid w:val="00686068"/>
    <w:rsid w:val="006B3246"/>
    <w:rsid w:val="006B6677"/>
    <w:rsid w:val="006C611D"/>
    <w:rsid w:val="006D2A39"/>
    <w:rsid w:val="006D5423"/>
    <w:rsid w:val="006F5364"/>
    <w:rsid w:val="006F5FC6"/>
    <w:rsid w:val="00712C5D"/>
    <w:rsid w:val="00714E31"/>
    <w:rsid w:val="00750146"/>
    <w:rsid w:val="007676FF"/>
    <w:rsid w:val="00773B27"/>
    <w:rsid w:val="0077408F"/>
    <w:rsid w:val="007C556B"/>
    <w:rsid w:val="007C7B28"/>
    <w:rsid w:val="007E372B"/>
    <w:rsid w:val="007E46EE"/>
    <w:rsid w:val="007E613F"/>
    <w:rsid w:val="007F4F8A"/>
    <w:rsid w:val="007F5D88"/>
    <w:rsid w:val="00805CD5"/>
    <w:rsid w:val="00824361"/>
    <w:rsid w:val="00841C23"/>
    <w:rsid w:val="008445BE"/>
    <w:rsid w:val="008453DB"/>
    <w:rsid w:val="00854225"/>
    <w:rsid w:val="00876BB7"/>
    <w:rsid w:val="00884895"/>
    <w:rsid w:val="00894FD0"/>
    <w:rsid w:val="008972D1"/>
    <w:rsid w:val="008B6202"/>
    <w:rsid w:val="008B7953"/>
    <w:rsid w:val="008D57B9"/>
    <w:rsid w:val="008D5E79"/>
    <w:rsid w:val="008F705A"/>
    <w:rsid w:val="008F78F1"/>
    <w:rsid w:val="0091216B"/>
    <w:rsid w:val="009123A4"/>
    <w:rsid w:val="00926FC4"/>
    <w:rsid w:val="00931533"/>
    <w:rsid w:val="0093245B"/>
    <w:rsid w:val="00943E85"/>
    <w:rsid w:val="0094494B"/>
    <w:rsid w:val="00947762"/>
    <w:rsid w:val="009534CE"/>
    <w:rsid w:val="00957B2C"/>
    <w:rsid w:val="00962388"/>
    <w:rsid w:val="00986D9E"/>
    <w:rsid w:val="009B3219"/>
    <w:rsid w:val="009B37BE"/>
    <w:rsid w:val="009C10E8"/>
    <w:rsid w:val="009C7629"/>
    <w:rsid w:val="009F60D7"/>
    <w:rsid w:val="00A0467D"/>
    <w:rsid w:val="00A14E47"/>
    <w:rsid w:val="00A535EF"/>
    <w:rsid w:val="00A736C0"/>
    <w:rsid w:val="00A763AD"/>
    <w:rsid w:val="00A81EF6"/>
    <w:rsid w:val="00A9681A"/>
    <w:rsid w:val="00AA4D36"/>
    <w:rsid w:val="00AA7662"/>
    <w:rsid w:val="00AB3B28"/>
    <w:rsid w:val="00AC59C9"/>
    <w:rsid w:val="00AE1E9D"/>
    <w:rsid w:val="00AE7009"/>
    <w:rsid w:val="00AF047F"/>
    <w:rsid w:val="00B121E5"/>
    <w:rsid w:val="00B1230D"/>
    <w:rsid w:val="00B141AF"/>
    <w:rsid w:val="00B26076"/>
    <w:rsid w:val="00B3381B"/>
    <w:rsid w:val="00B44078"/>
    <w:rsid w:val="00B44A24"/>
    <w:rsid w:val="00B50B88"/>
    <w:rsid w:val="00B51FB7"/>
    <w:rsid w:val="00B52A3F"/>
    <w:rsid w:val="00B60616"/>
    <w:rsid w:val="00B73036"/>
    <w:rsid w:val="00B73480"/>
    <w:rsid w:val="00BA3F17"/>
    <w:rsid w:val="00BA7B21"/>
    <w:rsid w:val="00BB5222"/>
    <w:rsid w:val="00BB7BC7"/>
    <w:rsid w:val="00BE14AF"/>
    <w:rsid w:val="00BE3879"/>
    <w:rsid w:val="00BE7120"/>
    <w:rsid w:val="00BF2AE3"/>
    <w:rsid w:val="00BF45DC"/>
    <w:rsid w:val="00C20853"/>
    <w:rsid w:val="00C24601"/>
    <w:rsid w:val="00C3614D"/>
    <w:rsid w:val="00C4546F"/>
    <w:rsid w:val="00C52F23"/>
    <w:rsid w:val="00C55CF4"/>
    <w:rsid w:val="00C769E1"/>
    <w:rsid w:val="00C83C1B"/>
    <w:rsid w:val="00C84E05"/>
    <w:rsid w:val="00C85D38"/>
    <w:rsid w:val="00CA220D"/>
    <w:rsid w:val="00CA28FF"/>
    <w:rsid w:val="00CB0C88"/>
    <w:rsid w:val="00CB3179"/>
    <w:rsid w:val="00CB649E"/>
    <w:rsid w:val="00CC0DB0"/>
    <w:rsid w:val="00CC6058"/>
    <w:rsid w:val="00CD3120"/>
    <w:rsid w:val="00CE2E21"/>
    <w:rsid w:val="00CE42EE"/>
    <w:rsid w:val="00D04C81"/>
    <w:rsid w:val="00D0645D"/>
    <w:rsid w:val="00D10E34"/>
    <w:rsid w:val="00D2742F"/>
    <w:rsid w:val="00D40E2C"/>
    <w:rsid w:val="00D43F5A"/>
    <w:rsid w:val="00D57847"/>
    <w:rsid w:val="00D8033B"/>
    <w:rsid w:val="00D80FB5"/>
    <w:rsid w:val="00D97844"/>
    <w:rsid w:val="00DA231C"/>
    <w:rsid w:val="00DB113E"/>
    <w:rsid w:val="00DC31D1"/>
    <w:rsid w:val="00DC5CDC"/>
    <w:rsid w:val="00DE194A"/>
    <w:rsid w:val="00DE5720"/>
    <w:rsid w:val="00E034FE"/>
    <w:rsid w:val="00E06F76"/>
    <w:rsid w:val="00E1726C"/>
    <w:rsid w:val="00E47533"/>
    <w:rsid w:val="00E50C37"/>
    <w:rsid w:val="00E5262E"/>
    <w:rsid w:val="00E817F6"/>
    <w:rsid w:val="00EA79B7"/>
    <w:rsid w:val="00EB78DF"/>
    <w:rsid w:val="00EC649E"/>
    <w:rsid w:val="00EE0B6C"/>
    <w:rsid w:val="00EE3B46"/>
    <w:rsid w:val="00EF6E3A"/>
    <w:rsid w:val="00F05791"/>
    <w:rsid w:val="00F43F59"/>
    <w:rsid w:val="00F55603"/>
    <w:rsid w:val="00F84051"/>
    <w:rsid w:val="00F8603F"/>
    <w:rsid w:val="00FA3ED3"/>
    <w:rsid w:val="00FA7362"/>
    <w:rsid w:val="00FB0E9D"/>
    <w:rsid w:val="00FD2074"/>
    <w:rsid w:val="00FD47F7"/>
    <w:rsid w:val="00FE496E"/>
    <w:rsid w:val="00FF4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8BC273"/>
  <w15:docId w15:val="{C1AD0198-0705-4157-BBA1-FB1B74BFC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ru-RU" w:eastAsia="ru-RU" w:bidi="ru-RU"/>
    </w:rPr>
  </w:style>
  <w:style w:type="paragraph" w:styleId="Heading1">
    <w:name w:val="heading 1"/>
    <w:basedOn w:val="Normal"/>
    <w:uiPriority w:val="1"/>
    <w:qFormat/>
    <w:pPr>
      <w:ind w:left="302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121"/>
      <w:ind w:left="661" w:right="182" w:hanging="360"/>
    </w:pPr>
  </w:style>
  <w:style w:type="paragraph" w:customStyle="1" w:styleId="TableParagraph">
    <w:name w:val="Table Paragraph"/>
    <w:basedOn w:val="Normal"/>
    <w:uiPriority w:val="1"/>
    <w:qFormat/>
    <w:pPr>
      <w:spacing w:line="225" w:lineRule="exact"/>
      <w:jc w:val="righ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7F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FA1"/>
    <w:rPr>
      <w:rFonts w:ascii="Segoe UI" w:eastAsia="Calibri" w:hAnsi="Segoe UI" w:cs="Segoe UI"/>
      <w:sz w:val="18"/>
      <w:szCs w:val="18"/>
      <w:lang w:val="ru-RU" w:eastAsia="ru-RU" w:bidi="ru-RU"/>
    </w:rPr>
  </w:style>
  <w:style w:type="paragraph" w:styleId="Header">
    <w:name w:val="header"/>
    <w:basedOn w:val="Normal"/>
    <w:link w:val="HeaderChar"/>
    <w:uiPriority w:val="99"/>
    <w:unhideWhenUsed/>
    <w:rsid w:val="00AA4D3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4D36"/>
    <w:rPr>
      <w:rFonts w:ascii="Calibri" w:eastAsia="Calibri" w:hAnsi="Calibri" w:cs="Calibri"/>
      <w:lang w:val="ru-RU" w:eastAsia="ru-RU" w:bidi="ru-RU"/>
    </w:rPr>
  </w:style>
  <w:style w:type="paragraph" w:styleId="Footer">
    <w:name w:val="footer"/>
    <w:basedOn w:val="Normal"/>
    <w:link w:val="FooterChar"/>
    <w:uiPriority w:val="99"/>
    <w:unhideWhenUsed/>
    <w:rsid w:val="00AA4D3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4D36"/>
    <w:rPr>
      <w:rFonts w:ascii="Calibri" w:eastAsia="Calibri" w:hAnsi="Calibri" w:cs="Calibri"/>
      <w:lang w:val="ru-RU" w:eastAsia="ru-RU" w:bidi="ru-RU"/>
    </w:rPr>
  </w:style>
  <w:style w:type="character" w:styleId="Hyperlink">
    <w:name w:val="Hyperlink"/>
    <w:basedOn w:val="DefaultParagraphFont"/>
    <w:uiPriority w:val="99"/>
    <w:unhideWhenUsed/>
    <w:rsid w:val="00AA4D36"/>
    <w:rPr>
      <w:color w:val="0000FF"/>
      <w:u w:val="single"/>
    </w:rPr>
  </w:style>
  <w:style w:type="character" w:customStyle="1" w:styleId="NormalS-06Char">
    <w:name w:val="Normal S-0/6 Char"/>
    <w:basedOn w:val="DefaultParagraphFont"/>
    <w:link w:val="NormalS-06"/>
    <w:locked/>
    <w:rsid w:val="00686068"/>
    <w:rPr>
      <w:rFonts w:ascii="Garamond" w:hAnsi="Garamond"/>
    </w:rPr>
  </w:style>
  <w:style w:type="paragraph" w:customStyle="1" w:styleId="NormalS-06">
    <w:name w:val="Normal S-0/6"/>
    <w:basedOn w:val="Normal"/>
    <w:link w:val="NormalS-06Char"/>
    <w:rsid w:val="00686068"/>
    <w:pPr>
      <w:widowControl/>
      <w:autoSpaceDE/>
      <w:autoSpaceDN/>
      <w:spacing w:after="120"/>
      <w:jc w:val="both"/>
    </w:pPr>
    <w:rPr>
      <w:rFonts w:ascii="Garamond" w:eastAsiaTheme="minorHAnsi" w:hAnsi="Garamond" w:cstheme="minorBidi"/>
      <w:lang w:val="en-US" w:eastAsia="en-US"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8D57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57B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57B9"/>
    <w:rPr>
      <w:rFonts w:ascii="Calibri" w:eastAsia="Calibri" w:hAnsi="Calibri" w:cs="Calibri"/>
      <w:sz w:val="20"/>
      <w:szCs w:val="20"/>
      <w:lang w:val="ru-RU" w:eastAsia="ru-RU" w:bidi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57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57B9"/>
    <w:rPr>
      <w:rFonts w:ascii="Calibri" w:eastAsia="Calibri" w:hAnsi="Calibri" w:cs="Calibri"/>
      <w:b/>
      <w:bCs/>
      <w:sz w:val="20"/>
      <w:szCs w:val="20"/>
      <w:lang w:val="ru-RU" w:eastAsia="ru-RU" w:bidi="ru-R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D40C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D40CA"/>
    <w:rPr>
      <w:rFonts w:ascii="Calibri" w:eastAsia="Calibri" w:hAnsi="Calibri" w:cs="Calibri"/>
      <w:sz w:val="20"/>
      <w:szCs w:val="20"/>
      <w:lang w:val="ru-RU" w:eastAsia="ru-RU" w:bidi="ru-RU"/>
    </w:rPr>
  </w:style>
  <w:style w:type="character" w:styleId="FootnoteReference">
    <w:name w:val="footnote reference"/>
    <w:basedOn w:val="DefaultParagraphFont"/>
    <w:uiPriority w:val="99"/>
    <w:semiHidden/>
    <w:unhideWhenUsed/>
    <w:rsid w:val="003D40C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718FF9-C3B0-42A6-A625-8915911AE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1088</Words>
  <Characters>6204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Strictly Private and Confidential</vt:lpstr>
      <vt:lpstr>Strictly Private and Confidential</vt:lpstr>
    </vt:vector>
  </TitlesOfParts>
  <Company>SPecialiST RePack</Company>
  <LinksUpToDate>false</LinksUpToDate>
  <CharactersWithSpaces>7278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Strictly Private and Confidential</dc:title>
  <dc:creator>ET</dc:creator>
  <cp:lastModifiedBy>Абдулина Виктория Зуфаровна</cp:lastModifiedBy>
  <cp:revision>3</cp:revision>
  <cp:lastPrinted>2021-04-30T13:47:00Z</cp:lastPrinted>
  <dcterms:created xsi:type="dcterms:W3CDTF">2022-04-29T08:16:00Z</dcterms:created>
  <dcterms:modified xsi:type="dcterms:W3CDTF">2022-04-29T08:17:00Z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2020-04-16T00:00:00Z</vt:filetime>
  </property>
</Properties>
</file>