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3689" w:rsidRPr="00523689" w:rsidRDefault="00523689" w:rsidP="00523689">
      <w:pPr>
        <w:spacing w:after="0" w:line="240" w:lineRule="auto"/>
        <w:ind w:left="-709" w:firstLine="709"/>
        <w:jc w:val="right"/>
        <w:rPr>
          <w:bCs/>
        </w:rPr>
      </w:pPr>
      <w:r w:rsidRPr="00523689">
        <w:rPr>
          <w:bCs/>
        </w:rPr>
        <w:t>УТВЕРЖДЕН</w:t>
      </w:r>
    </w:p>
    <w:p w:rsidR="00523689" w:rsidRPr="00523689" w:rsidRDefault="00523689" w:rsidP="00523689">
      <w:pPr>
        <w:spacing w:after="0" w:line="240" w:lineRule="auto"/>
        <w:ind w:left="-709" w:firstLine="709"/>
        <w:jc w:val="right"/>
        <w:rPr>
          <w:bCs/>
        </w:rPr>
      </w:pPr>
      <w:r w:rsidRPr="00523689">
        <w:rPr>
          <w:bCs/>
        </w:rPr>
        <w:t>Советом директоров ПАО «ГТМ»</w:t>
      </w:r>
    </w:p>
    <w:p w:rsidR="00523689" w:rsidRPr="00523689" w:rsidRDefault="00523689" w:rsidP="00523689">
      <w:pPr>
        <w:spacing w:after="0" w:line="240" w:lineRule="auto"/>
        <w:ind w:left="-709" w:firstLine="709"/>
        <w:jc w:val="right"/>
        <w:rPr>
          <w:bCs/>
        </w:rPr>
      </w:pPr>
      <w:r w:rsidRPr="00523689">
        <w:rPr>
          <w:bCs/>
        </w:rPr>
        <w:t>Протокол б/н от 11.06.2020 г.</w:t>
      </w:r>
    </w:p>
    <w:p w:rsidR="00523689" w:rsidRDefault="00523689" w:rsidP="00523689">
      <w:pPr>
        <w:ind w:left="-709" w:firstLine="709"/>
        <w:jc w:val="center"/>
        <w:rPr>
          <w:b/>
        </w:rPr>
      </w:pPr>
    </w:p>
    <w:p w:rsidR="00523689" w:rsidRDefault="00523689" w:rsidP="00523689">
      <w:pPr>
        <w:ind w:left="-709" w:firstLine="709"/>
        <w:jc w:val="center"/>
        <w:rPr>
          <w:b/>
        </w:rPr>
      </w:pPr>
      <w:r>
        <w:rPr>
          <w:b/>
        </w:rPr>
        <w:t>Отчет</w:t>
      </w:r>
    </w:p>
    <w:p w:rsidR="00523689" w:rsidRDefault="00523689" w:rsidP="00523689">
      <w:pPr>
        <w:ind w:left="-709" w:firstLine="709"/>
        <w:jc w:val="center"/>
        <w:rPr>
          <w:b/>
        </w:rPr>
      </w:pPr>
      <w:r>
        <w:rPr>
          <w:b/>
        </w:rPr>
        <w:t>о сделках с заинтересованностью и крупных сделках,</w:t>
      </w:r>
    </w:p>
    <w:p w:rsidR="00EF2AE8" w:rsidRDefault="00523689" w:rsidP="00523689">
      <w:pPr>
        <w:ind w:left="-709" w:firstLine="709"/>
        <w:jc w:val="center"/>
        <w:rPr>
          <w:b/>
        </w:rPr>
      </w:pPr>
      <w:r>
        <w:rPr>
          <w:b/>
        </w:rPr>
        <w:t>совершенных ПАО «ГТМ» в 2019 году</w:t>
      </w:r>
    </w:p>
    <w:p w:rsidR="00523689" w:rsidRDefault="00523689" w:rsidP="00523689">
      <w:pPr>
        <w:tabs>
          <w:tab w:val="left" w:pos="4440"/>
        </w:tabs>
      </w:pPr>
      <w:r>
        <w:tab/>
      </w:r>
    </w:p>
    <w:p w:rsidR="00523689" w:rsidRPr="00211024" w:rsidRDefault="00211024" w:rsidP="00523689">
      <w:pPr>
        <w:tabs>
          <w:tab w:val="left" w:pos="4440"/>
        </w:tabs>
        <w:rPr>
          <w:b/>
          <w:bCs/>
        </w:rPr>
      </w:pPr>
      <w:r w:rsidRPr="00211024">
        <w:rPr>
          <w:b/>
          <w:bCs/>
        </w:rPr>
        <w:t>1. КРУПНЫЕ СДЕЛКИ</w:t>
      </w:r>
    </w:p>
    <w:p w:rsidR="00523689" w:rsidRDefault="00211024" w:rsidP="00211024">
      <w:pPr>
        <w:tabs>
          <w:tab w:val="left" w:pos="4440"/>
        </w:tabs>
        <w:jc w:val="both"/>
        <w:rPr>
          <w:rFonts w:cstheme="minorHAnsi"/>
          <w:bCs/>
          <w:iCs/>
          <w:color w:val="000000" w:themeColor="text1"/>
        </w:rPr>
      </w:pPr>
      <w:r w:rsidRPr="00211024">
        <w:rPr>
          <w:rFonts w:cstheme="minorHAnsi"/>
          <w:bCs/>
          <w:iCs/>
          <w:color w:val="000000" w:themeColor="text1"/>
        </w:rPr>
        <w:t>В</w:t>
      </w:r>
      <w:r w:rsidRPr="00211024">
        <w:rPr>
          <w:rFonts w:cstheme="minorHAnsi"/>
          <w:bCs/>
          <w:iCs/>
          <w:color w:val="000000" w:themeColor="text1"/>
        </w:rPr>
        <w:t xml:space="preserve"> 2019 отчетном году </w:t>
      </w:r>
      <w:r>
        <w:rPr>
          <w:rFonts w:cstheme="minorHAnsi"/>
          <w:bCs/>
          <w:iCs/>
          <w:color w:val="000000" w:themeColor="text1"/>
        </w:rPr>
        <w:t xml:space="preserve">ПАО «ГТМ» не совершало </w:t>
      </w:r>
      <w:r w:rsidRPr="00211024">
        <w:rPr>
          <w:rFonts w:cstheme="minorHAnsi"/>
          <w:bCs/>
          <w:iCs/>
          <w:color w:val="000000" w:themeColor="text1"/>
        </w:rPr>
        <w:t>сделки</w:t>
      </w:r>
      <w:r w:rsidRPr="00211024">
        <w:rPr>
          <w:rFonts w:cstheme="minorHAnsi"/>
          <w:bCs/>
          <w:iCs/>
          <w:color w:val="000000" w:themeColor="text1"/>
        </w:rPr>
        <w:t>, признаваемы</w:t>
      </w:r>
      <w:r w:rsidRPr="00211024">
        <w:rPr>
          <w:rFonts w:cstheme="minorHAnsi"/>
          <w:bCs/>
          <w:iCs/>
          <w:color w:val="000000" w:themeColor="text1"/>
        </w:rPr>
        <w:t xml:space="preserve">е </w:t>
      </w:r>
      <w:r w:rsidRPr="00211024">
        <w:rPr>
          <w:rFonts w:cstheme="minorHAnsi"/>
          <w:bCs/>
          <w:iCs/>
          <w:color w:val="000000" w:themeColor="text1"/>
        </w:rPr>
        <w:t>в соответствии с Федеральным законом «Об акционерных обществах» крупными сделками</w:t>
      </w:r>
      <w:r>
        <w:rPr>
          <w:rFonts w:cstheme="minorHAnsi"/>
          <w:bCs/>
          <w:iCs/>
          <w:color w:val="000000" w:themeColor="text1"/>
        </w:rPr>
        <w:t>.</w:t>
      </w:r>
    </w:p>
    <w:p w:rsidR="00211024" w:rsidRDefault="00211024" w:rsidP="00211024">
      <w:pPr>
        <w:tabs>
          <w:tab w:val="left" w:pos="4440"/>
        </w:tabs>
        <w:jc w:val="both"/>
        <w:rPr>
          <w:rFonts w:cstheme="minorHAnsi"/>
          <w:bCs/>
          <w:iCs/>
          <w:color w:val="000000" w:themeColor="text1"/>
        </w:rPr>
      </w:pPr>
    </w:p>
    <w:p w:rsidR="00211024" w:rsidRDefault="00211024" w:rsidP="00211024">
      <w:pPr>
        <w:tabs>
          <w:tab w:val="left" w:pos="4440"/>
        </w:tabs>
        <w:jc w:val="both"/>
        <w:rPr>
          <w:b/>
          <w:bCs/>
          <w:caps/>
        </w:rPr>
      </w:pPr>
      <w:r>
        <w:rPr>
          <w:b/>
          <w:bCs/>
        </w:rPr>
        <w:t>2</w:t>
      </w:r>
      <w:r w:rsidRPr="00211024">
        <w:rPr>
          <w:b/>
          <w:bCs/>
        </w:rPr>
        <w:t xml:space="preserve">. </w:t>
      </w:r>
      <w:r w:rsidRPr="00211024">
        <w:rPr>
          <w:b/>
          <w:bCs/>
          <w:caps/>
        </w:rPr>
        <w:t>СДЕЛКИ</w:t>
      </w:r>
      <w:r w:rsidRPr="00211024">
        <w:rPr>
          <w:b/>
          <w:bCs/>
          <w:caps/>
        </w:rPr>
        <w:t>, на совершение которых в соответствии с Уставом Общества распространяется порядок одобрения крупных сделок</w:t>
      </w:r>
    </w:p>
    <w:p w:rsidR="00211024" w:rsidRPr="00211024" w:rsidRDefault="00211024" w:rsidP="00211024">
      <w:pPr>
        <w:tabs>
          <w:tab w:val="left" w:pos="4440"/>
        </w:tabs>
        <w:jc w:val="both"/>
        <w:rPr>
          <w:b/>
          <w:bCs/>
          <w:caps/>
        </w:rPr>
      </w:pPr>
      <w:r w:rsidRPr="00211024">
        <w:rPr>
          <w:rFonts w:cstheme="minorHAnsi"/>
          <w:bCs/>
          <w:iCs/>
          <w:color w:val="000000" w:themeColor="text1"/>
        </w:rPr>
        <w:t xml:space="preserve">В 2019 отчетном году </w:t>
      </w:r>
      <w:r>
        <w:rPr>
          <w:rFonts w:cstheme="minorHAnsi"/>
          <w:bCs/>
          <w:iCs/>
          <w:color w:val="000000" w:themeColor="text1"/>
        </w:rPr>
        <w:t>ПАО «ГТМ» не совершало</w:t>
      </w:r>
      <w:r>
        <w:rPr>
          <w:rFonts w:cstheme="minorHAnsi"/>
          <w:bCs/>
          <w:iCs/>
          <w:color w:val="000000" w:themeColor="text1"/>
        </w:rPr>
        <w:t xml:space="preserve"> указанные</w:t>
      </w:r>
      <w:r>
        <w:rPr>
          <w:rFonts w:cstheme="minorHAnsi"/>
          <w:bCs/>
          <w:iCs/>
          <w:color w:val="000000" w:themeColor="text1"/>
        </w:rPr>
        <w:t xml:space="preserve"> </w:t>
      </w:r>
      <w:r w:rsidRPr="00211024">
        <w:rPr>
          <w:rFonts w:cstheme="minorHAnsi"/>
          <w:bCs/>
          <w:iCs/>
          <w:color w:val="000000" w:themeColor="text1"/>
        </w:rPr>
        <w:t>сделки</w:t>
      </w:r>
      <w:r>
        <w:rPr>
          <w:rFonts w:cstheme="minorHAnsi"/>
          <w:bCs/>
          <w:iCs/>
          <w:color w:val="000000" w:themeColor="text1"/>
        </w:rPr>
        <w:t>.</w:t>
      </w:r>
    </w:p>
    <w:p w:rsidR="00211024" w:rsidRDefault="00211024" w:rsidP="00211024">
      <w:pPr>
        <w:tabs>
          <w:tab w:val="left" w:pos="4440"/>
        </w:tabs>
        <w:jc w:val="both"/>
        <w:rPr>
          <w:bCs/>
          <w:iCs/>
        </w:rPr>
      </w:pPr>
    </w:p>
    <w:p w:rsidR="00211024" w:rsidRDefault="00211024" w:rsidP="00211024">
      <w:pPr>
        <w:tabs>
          <w:tab w:val="left" w:pos="4440"/>
        </w:tabs>
        <w:jc w:val="both"/>
        <w:rPr>
          <w:b/>
          <w:bCs/>
          <w:caps/>
        </w:rPr>
      </w:pPr>
      <w:r>
        <w:rPr>
          <w:b/>
          <w:bCs/>
        </w:rPr>
        <w:t>3</w:t>
      </w:r>
      <w:r w:rsidRPr="00211024">
        <w:rPr>
          <w:b/>
          <w:bCs/>
        </w:rPr>
        <w:t xml:space="preserve">. </w:t>
      </w:r>
      <w:r w:rsidRPr="00211024">
        <w:rPr>
          <w:b/>
          <w:bCs/>
          <w:caps/>
        </w:rPr>
        <w:t>СДЕЛКИ</w:t>
      </w:r>
      <w:r>
        <w:rPr>
          <w:b/>
          <w:bCs/>
          <w:caps/>
        </w:rPr>
        <w:t xml:space="preserve"> С ЗАИНТЕРЕСОВАННОСТЬЮ</w:t>
      </w:r>
    </w:p>
    <w:p w:rsidR="00211024" w:rsidRPr="00164161" w:rsidRDefault="00211024" w:rsidP="00211024">
      <w:pPr>
        <w:pStyle w:val="a3"/>
        <w:spacing w:line="276" w:lineRule="auto"/>
        <w:ind w:left="0"/>
        <w:jc w:val="both"/>
        <w:rPr>
          <w:rFonts w:cstheme="minorHAnsi"/>
          <w:b/>
          <w:i/>
          <w:color w:val="000000" w:themeColor="text1"/>
        </w:rPr>
      </w:pPr>
      <w:r w:rsidRPr="00164161">
        <w:rPr>
          <w:rFonts w:ascii="Times New Roman" w:eastAsiaTheme="minorEastAsia" w:hAnsi="Times New Roman" w:cs="Times New Roman"/>
          <w:b/>
          <w:i/>
          <w:szCs w:val="24"/>
          <w:lang w:eastAsia="ru-RU"/>
        </w:rPr>
        <w:t>1. Договор</w:t>
      </w:r>
      <w:r w:rsidRPr="00164161">
        <w:rPr>
          <w:rFonts w:ascii="Times New Roman" w:eastAsiaTheme="minorEastAsia" w:hAnsi="Times New Roman" w:cs="Times New Roman"/>
          <w:szCs w:val="24"/>
          <w:lang w:eastAsia="ru-RU"/>
        </w:rPr>
        <w:t xml:space="preserve"> </w:t>
      </w:r>
      <w:r w:rsidRPr="00164161">
        <w:rPr>
          <w:rFonts w:ascii="Times New Roman" w:eastAsiaTheme="minorEastAsia" w:hAnsi="Times New Roman" w:cs="Times New Roman"/>
          <w:b/>
          <w:i/>
          <w:szCs w:val="24"/>
          <w:lang w:eastAsia="ru-RU"/>
        </w:rPr>
        <w:t>поручительства с Публичным акционерным обществом РОСБАНК</w:t>
      </w:r>
    </w:p>
    <w:p w:rsidR="00211024" w:rsidRPr="00164161" w:rsidRDefault="00211024" w:rsidP="00211024">
      <w:pPr>
        <w:spacing w:line="276" w:lineRule="auto"/>
        <w:rPr>
          <w:rFonts w:cstheme="minorHAnsi"/>
          <w:b/>
          <w:i/>
          <w:color w:val="000000" w:themeColor="text1"/>
        </w:rPr>
      </w:pPr>
      <w:r w:rsidRPr="00164161">
        <w:rPr>
          <w:rFonts w:cstheme="minorHAnsi"/>
          <w:color w:val="000000" w:themeColor="text1"/>
        </w:rPr>
        <w:t>Дата совершения сделки:</w:t>
      </w:r>
      <w:r w:rsidRPr="00164161">
        <w:rPr>
          <w:rFonts w:cstheme="minorHAnsi"/>
          <w:b/>
          <w:i/>
          <w:color w:val="000000" w:themeColor="text1"/>
        </w:rPr>
        <w:t xml:space="preserve"> 20.03.2019 г.</w:t>
      </w:r>
    </w:p>
    <w:p w:rsidR="00211024" w:rsidRPr="00164161" w:rsidRDefault="00211024" w:rsidP="00211024">
      <w:pPr>
        <w:spacing w:line="276" w:lineRule="auto"/>
        <w:rPr>
          <w:rFonts w:cstheme="minorHAnsi"/>
          <w:color w:val="000000" w:themeColor="text1"/>
        </w:rPr>
      </w:pPr>
      <w:r w:rsidRPr="00164161">
        <w:rPr>
          <w:rFonts w:cstheme="minorHAnsi"/>
          <w:color w:val="000000" w:themeColor="text1"/>
        </w:rPr>
        <w:t>Лицо (лица), являющееся стороной (сторонами) и выгодоприобретателем (выгодоприобретателями) по сделке:</w:t>
      </w:r>
    </w:p>
    <w:p w:rsidR="00211024" w:rsidRPr="00164161" w:rsidRDefault="00211024" w:rsidP="00211024">
      <w:pPr>
        <w:pStyle w:val="ConsNonformat"/>
        <w:jc w:val="both"/>
        <w:rPr>
          <w:rFonts w:ascii="Times New Roman" w:hAnsi="Times New Roman" w:cs="Times New Roman"/>
          <w:b/>
          <w:i/>
          <w:sz w:val="22"/>
          <w:szCs w:val="22"/>
        </w:rPr>
      </w:pPr>
      <w:r w:rsidRPr="00164161">
        <w:rPr>
          <w:rFonts w:ascii="Times New Roman" w:hAnsi="Times New Roman" w:cs="Times New Roman"/>
          <w:b/>
          <w:i/>
          <w:sz w:val="22"/>
          <w:szCs w:val="22"/>
        </w:rPr>
        <w:t>Банк: Публичное акционерное общество РОСБАНК</w:t>
      </w:r>
    </w:p>
    <w:p w:rsidR="00211024" w:rsidRPr="00164161" w:rsidRDefault="00211024" w:rsidP="00211024">
      <w:pPr>
        <w:pStyle w:val="ConsNonformat"/>
        <w:jc w:val="both"/>
        <w:rPr>
          <w:rFonts w:ascii="Times New Roman" w:hAnsi="Times New Roman" w:cs="Times New Roman"/>
          <w:b/>
          <w:i/>
          <w:sz w:val="22"/>
          <w:szCs w:val="22"/>
        </w:rPr>
      </w:pPr>
      <w:r w:rsidRPr="00164161">
        <w:rPr>
          <w:rFonts w:ascii="Times New Roman" w:hAnsi="Times New Roman" w:cs="Times New Roman"/>
          <w:b/>
          <w:i/>
          <w:sz w:val="22"/>
          <w:szCs w:val="22"/>
        </w:rPr>
        <w:t>Поручитель: ПАО «ГТМ»</w:t>
      </w:r>
    </w:p>
    <w:p w:rsidR="00211024" w:rsidRPr="00164161" w:rsidRDefault="00211024" w:rsidP="00211024">
      <w:pPr>
        <w:spacing w:line="276" w:lineRule="auto"/>
        <w:rPr>
          <w:rFonts w:ascii="Times New Roman" w:hAnsi="Times New Roman" w:cs="Times New Roman"/>
          <w:b/>
          <w:i/>
        </w:rPr>
      </w:pPr>
      <w:r w:rsidRPr="00164161">
        <w:rPr>
          <w:rFonts w:ascii="Times New Roman" w:hAnsi="Times New Roman" w:cs="Times New Roman"/>
          <w:b/>
          <w:i/>
        </w:rPr>
        <w:t>Должник/Выгодоприобретатель: Общество с ограниченной ответственностью «</w:t>
      </w:r>
      <w:proofErr w:type="spellStart"/>
      <w:r w:rsidRPr="00164161">
        <w:rPr>
          <w:rFonts w:ascii="Times New Roman" w:hAnsi="Times New Roman" w:cs="Times New Roman"/>
          <w:b/>
          <w:i/>
        </w:rPr>
        <w:t>Глобалтрак</w:t>
      </w:r>
      <w:proofErr w:type="spellEnd"/>
      <w:r w:rsidRPr="00164161">
        <w:rPr>
          <w:rFonts w:ascii="Times New Roman" w:hAnsi="Times New Roman" w:cs="Times New Roman"/>
          <w:b/>
          <w:i/>
        </w:rPr>
        <w:t xml:space="preserve"> </w:t>
      </w:r>
      <w:proofErr w:type="spellStart"/>
      <w:r w:rsidRPr="00164161">
        <w:rPr>
          <w:rFonts w:ascii="Times New Roman" w:hAnsi="Times New Roman" w:cs="Times New Roman"/>
          <w:b/>
          <w:i/>
        </w:rPr>
        <w:t>Лоджистик</w:t>
      </w:r>
      <w:proofErr w:type="spellEnd"/>
      <w:r w:rsidRPr="00164161">
        <w:rPr>
          <w:rFonts w:ascii="Times New Roman" w:hAnsi="Times New Roman" w:cs="Times New Roman"/>
          <w:b/>
          <w:i/>
        </w:rPr>
        <w:t>»</w:t>
      </w:r>
    </w:p>
    <w:p w:rsidR="00211024" w:rsidRPr="00164161" w:rsidRDefault="00211024" w:rsidP="00211024">
      <w:pPr>
        <w:spacing w:line="276" w:lineRule="auto"/>
        <w:rPr>
          <w:rFonts w:cstheme="minorHAnsi"/>
          <w:color w:val="000000" w:themeColor="text1"/>
        </w:rPr>
      </w:pPr>
      <w:r w:rsidRPr="00164161">
        <w:rPr>
          <w:rFonts w:cstheme="minorHAnsi"/>
          <w:color w:val="000000" w:themeColor="text1"/>
        </w:rPr>
        <w:t>Предмет и иные существенные условия сделки:</w:t>
      </w:r>
    </w:p>
    <w:p w:rsidR="00211024" w:rsidRPr="00164161" w:rsidRDefault="00211024" w:rsidP="00211024">
      <w:pPr>
        <w:tabs>
          <w:tab w:val="left" w:pos="6946"/>
        </w:tabs>
        <w:spacing w:after="0" w:line="240" w:lineRule="auto"/>
        <w:jc w:val="both"/>
        <w:rPr>
          <w:rFonts w:ascii="Times New Roman" w:eastAsiaTheme="minorEastAsia" w:hAnsi="Times New Roman" w:cs="Times New Roman"/>
          <w:b/>
          <w:i/>
          <w:szCs w:val="24"/>
          <w:lang w:eastAsia="ru-RU"/>
        </w:rPr>
      </w:pPr>
      <w:r w:rsidRPr="00164161">
        <w:rPr>
          <w:rFonts w:ascii="Times New Roman" w:eastAsiaTheme="minorEastAsia" w:hAnsi="Times New Roman" w:cs="Times New Roman"/>
          <w:b/>
          <w:i/>
          <w:szCs w:val="24"/>
          <w:lang w:eastAsia="ru-RU"/>
        </w:rPr>
        <w:t>В качестве обеспечения исполнения обязательств Должника перед Банком по Основному договору Поручитель обязуется отвечать солидарно с Должником перед Банком в полном объеме за исполнение Должником любых и всех его обязательств (включая настоящие обязательства и обязательства, которые могут возникнуть в будущем), возникающих из или в связи с Основным договором (далее – "Обеспеченные обязательства"), включая, но не ограничиваясь, обязательства по:</w:t>
      </w:r>
    </w:p>
    <w:p w:rsidR="00211024" w:rsidRPr="00164161" w:rsidRDefault="00211024" w:rsidP="00211024">
      <w:pPr>
        <w:tabs>
          <w:tab w:val="left" w:pos="6946"/>
        </w:tabs>
        <w:spacing w:after="0" w:line="240" w:lineRule="auto"/>
        <w:jc w:val="both"/>
        <w:rPr>
          <w:rFonts w:ascii="Times New Roman" w:eastAsiaTheme="minorEastAsia" w:hAnsi="Times New Roman" w:cs="Times New Roman"/>
          <w:b/>
          <w:i/>
          <w:szCs w:val="24"/>
          <w:lang w:eastAsia="ru-RU"/>
        </w:rPr>
      </w:pPr>
      <w:r w:rsidRPr="00164161">
        <w:rPr>
          <w:rFonts w:ascii="Times New Roman" w:eastAsiaTheme="minorEastAsia" w:hAnsi="Times New Roman" w:cs="Times New Roman"/>
          <w:b/>
          <w:i/>
          <w:szCs w:val="24"/>
          <w:lang w:eastAsia="ru-RU"/>
        </w:rPr>
        <w:t>1.  уплате суммы основного долга, процентов, любых иных платежей, комиссий и возмещений, включая, если применимо, компенсацию (уплату) любых затрат (в том числе, но не ограничиваясь, судебных издержек), а также процентов, неустоек (штрафов, пеней) и убытков Банка, возникающих в связи с защитой и соблюдением прав Банка по Основному договору и/или просрочкой исполнения; и</w:t>
      </w:r>
    </w:p>
    <w:p w:rsidR="00211024" w:rsidRPr="00164161" w:rsidRDefault="00211024" w:rsidP="00211024">
      <w:pPr>
        <w:tabs>
          <w:tab w:val="left" w:pos="6946"/>
        </w:tabs>
        <w:spacing w:after="0" w:line="240" w:lineRule="auto"/>
        <w:jc w:val="both"/>
        <w:rPr>
          <w:rFonts w:ascii="Times New Roman" w:eastAsiaTheme="minorEastAsia" w:hAnsi="Times New Roman" w:cs="Times New Roman"/>
          <w:b/>
          <w:i/>
          <w:szCs w:val="24"/>
          <w:lang w:eastAsia="ru-RU"/>
        </w:rPr>
      </w:pPr>
      <w:r w:rsidRPr="00164161">
        <w:rPr>
          <w:rFonts w:ascii="Times New Roman" w:eastAsiaTheme="minorEastAsia" w:hAnsi="Times New Roman" w:cs="Times New Roman"/>
          <w:b/>
          <w:i/>
          <w:szCs w:val="24"/>
          <w:lang w:eastAsia="ru-RU"/>
        </w:rPr>
        <w:t>2. возврату (или возмещению) денежных средств, причитающихся Банку в соответствии с Основным договором, а также по уплате процентов, возникающих в силу закона, в случае если Основной договор или какое-либо его положение признается недействительным (включая, если применимо, требования о возмещении, возникающие на основании Статьи 167 и/или Главы 60 Гражданского кодекса Российской Федерации (далее – "ГК РФ")), а также, если применимо, обязательства Должника возместить любые затраты и убытки Банка, связанные с такой недействительностью.</w:t>
      </w:r>
    </w:p>
    <w:p w:rsidR="00211024" w:rsidRPr="00164161" w:rsidRDefault="00211024" w:rsidP="00211024">
      <w:pPr>
        <w:widowControl w:val="0"/>
        <w:spacing w:after="0" w:line="240" w:lineRule="auto"/>
        <w:jc w:val="both"/>
        <w:rPr>
          <w:rFonts w:ascii="Times New Roman" w:eastAsiaTheme="minorEastAsia" w:hAnsi="Times New Roman" w:cs="Times New Roman"/>
          <w:b/>
          <w:i/>
          <w:szCs w:val="24"/>
        </w:rPr>
      </w:pPr>
      <w:r w:rsidRPr="00164161">
        <w:rPr>
          <w:rFonts w:ascii="Times New Roman" w:eastAsiaTheme="minorEastAsia" w:hAnsi="Times New Roman" w:cs="Times New Roman"/>
          <w:b/>
          <w:i/>
          <w:szCs w:val="24"/>
        </w:rPr>
        <w:t xml:space="preserve">Основной Договор: Договор об открытии </w:t>
      </w:r>
      <w:proofErr w:type="spellStart"/>
      <w:r w:rsidRPr="00164161">
        <w:rPr>
          <w:rFonts w:ascii="Times New Roman" w:eastAsiaTheme="minorEastAsia" w:hAnsi="Times New Roman" w:cs="Times New Roman"/>
          <w:b/>
          <w:i/>
          <w:szCs w:val="24"/>
        </w:rPr>
        <w:t>невозобновляемой</w:t>
      </w:r>
      <w:proofErr w:type="spellEnd"/>
      <w:r w:rsidRPr="00164161">
        <w:rPr>
          <w:rFonts w:ascii="Times New Roman" w:eastAsiaTheme="minorEastAsia" w:hAnsi="Times New Roman" w:cs="Times New Roman"/>
          <w:b/>
          <w:i/>
          <w:szCs w:val="24"/>
        </w:rPr>
        <w:t xml:space="preserve"> кредитной линии между Банком и Должником</w:t>
      </w:r>
    </w:p>
    <w:p w:rsidR="00211024" w:rsidRPr="00164161" w:rsidRDefault="00211024" w:rsidP="00211024">
      <w:pPr>
        <w:pStyle w:val="ConsNonformat"/>
        <w:jc w:val="both"/>
        <w:rPr>
          <w:rFonts w:ascii="Times New Roman" w:hAnsi="Times New Roman" w:cs="Times New Roman"/>
          <w:b/>
          <w:i/>
          <w:sz w:val="22"/>
          <w:szCs w:val="22"/>
        </w:rPr>
      </w:pPr>
      <w:r w:rsidRPr="00164161">
        <w:rPr>
          <w:rFonts w:ascii="Times New Roman" w:hAnsi="Times New Roman" w:cs="Times New Roman"/>
          <w:b/>
          <w:i/>
          <w:sz w:val="22"/>
          <w:szCs w:val="22"/>
        </w:rPr>
        <w:lastRenderedPageBreak/>
        <w:t xml:space="preserve">Поручитель отвечает в объеме и на условиях, установленных Договором поручительства. </w:t>
      </w:r>
    </w:p>
    <w:p w:rsidR="00211024" w:rsidRPr="00164161" w:rsidRDefault="00211024" w:rsidP="00211024">
      <w:pPr>
        <w:tabs>
          <w:tab w:val="left" w:pos="6946"/>
        </w:tabs>
        <w:spacing w:after="0" w:line="240" w:lineRule="auto"/>
        <w:jc w:val="both"/>
        <w:rPr>
          <w:rFonts w:ascii="Times New Roman" w:eastAsia="Times New Roman" w:hAnsi="Times New Roman" w:cs="Times New Roman"/>
          <w:b/>
          <w:i/>
          <w:lang w:eastAsia="ru-RU"/>
        </w:rPr>
      </w:pPr>
      <w:r w:rsidRPr="00164161">
        <w:rPr>
          <w:rFonts w:ascii="Times New Roman" w:eastAsia="Times New Roman" w:hAnsi="Times New Roman" w:cs="Times New Roman"/>
          <w:b/>
          <w:i/>
          <w:lang w:eastAsia="ru-RU"/>
        </w:rPr>
        <w:t xml:space="preserve">В случае неисполнения (ненадлежащего исполнения) Заемщиком какого-либо Обеспеченного обязательства (далее – "Случай неисполнения обязательств") Поручитель предоставляет Банку право, начиная со следующего рабочего дня после возникновения Случая неисполнения обязательств, без предварительного уведомления Поручителя списывать необходимые для исполнения обязательств Поручителя по настоящему Договору суммы, полностью или частично, с его счета в российских рублях, открытого в Банке. </w:t>
      </w:r>
    </w:p>
    <w:p w:rsidR="00211024" w:rsidRPr="00164161" w:rsidRDefault="00211024" w:rsidP="00211024">
      <w:pPr>
        <w:tabs>
          <w:tab w:val="left" w:pos="6946"/>
        </w:tabs>
        <w:spacing w:after="0" w:line="240" w:lineRule="auto"/>
        <w:jc w:val="both"/>
        <w:rPr>
          <w:rFonts w:ascii="Times New Roman" w:eastAsia="Times New Roman" w:hAnsi="Times New Roman" w:cs="Times New Roman"/>
          <w:b/>
          <w:i/>
          <w:lang w:eastAsia="ru-RU"/>
        </w:rPr>
      </w:pPr>
    </w:p>
    <w:p w:rsidR="00211024" w:rsidRPr="00164161" w:rsidRDefault="00211024" w:rsidP="00211024">
      <w:pPr>
        <w:tabs>
          <w:tab w:val="left" w:pos="6946"/>
        </w:tabs>
        <w:spacing w:after="0" w:line="240" w:lineRule="auto"/>
        <w:jc w:val="both"/>
        <w:rPr>
          <w:rFonts w:ascii="Times New Roman" w:eastAsia="Times New Roman" w:hAnsi="Times New Roman" w:cs="Times New Roman"/>
          <w:b/>
          <w:i/>
          <w:lang w:eastAsia="ru-RU"/>
        </w:rPr>
      </w:pPr>
      <w:r w:rsidRPr="00164161">
        <w:rPr>
          <w:rFonts w:ascii="Times New Roman" w:eastAsia="Times New Roman" w:hAnsi="Times New Roman" w:cs="Times New Roman"/>
          <w:b/>
          <w:i/>
          <w:lang w:eastAsia="ru-RU"/>
        </w:rPr>
        <w:t>В случае отсутствия или недостаточности денежных средств на вышеуказанных счетах Поручителя, Поручитель обязуется погасить полностью сумму задолженности Заемщика в течение 3 (трех) рабочих дней с момента получения первого простого письменного требования Банка.</w:t>
      </w:r>
    </w:p>
    <w:p w:rsidR="00211024" w:rsidRPr="00164161" w:rsidRDefault="00211024" w:rsidP="00211024">
      <w:pPr>
        <w:widowControl w:val="0"/>
        <w:spacing w:after="0" w:line="240" w:lineRule="auto"/>
        <w:jc w:val="both"/>
        <w:rPr>
          <w:rFonts w:eastAsiaTheme="minorEastAsia" w:cs="Times New Roman"/>
          <w:lang w:eastAsia="ru-RU"/>
        </w:rPr>
      </w:pPr>
      <w:r w:rsidRPr="00164161">
        <w:rPr>
          <w:rFonts w:ascii="Times New Roman" w:eastAsia="Times New Roman" w:hAnsi="Times New Roman" w:cs="Times New Roman"/>
          <w:b/>
          <w:i/>
          <w:lang w:eastAsia="ru-RU"/>
        </w:rPr>
        <w:t>За неисполнение или ненадлежащее исполнение Поручителем каких-либо его платежных обязательств по Договору, Банк вправе, помимо суммы, указанной в соответствующем требовании Банка, потребовать от Поручителя уплаты неустойки из расчета 0.07 (Ноль целых семь сотых) процентов от суммы не поступившего в срок платежа за каждый день просрочки.</w:t>
      </w:r>
    </w:p>
    <w:p w:rsidR="00211024" w:rsidRPr="00164161" w:rsidRDefault="00211024" w:rsidP="00211024">
      <w:pPr>
        <w:widowControl w:val="0"/>
        <w:spacing w:after="0" w:line="240" w:lineRule="auto"/>
        <w:jc w:val="both"/>
        <w:rPr>
          <w:rFonts w:ascii="Times New Roman" w:eastAsia="Times New Roman" w:hAnsi="Times New Roman" w:cs="Times New Roman"/>
          <w:b/>
          <w:i/>
          <w:lang w:eastAsia="ru-RU"/>
        </w:rPr>
      </w:pPr>
      <w:r w:rsidRPr="00164161">
        <w:rPr>
          <w:rFonts w:eastAsiaTheme="minorEastAsia" w:cs="Times New Roman"/>
          <w:lang w:eastAsia="ru-RU"/>
        </w:rPr>
        <w:t>Сведения об исполнении обязательств по Сделке:</w:t>
      </w:r>
      <w:r w:rsidRPr="00164161">
        <w:rPr>
          <w:rFonts w:eastAsiaTheme="minorEastAsia" w:cs="Times New Roman"/>
          <w:b/>
          <w:i/>
          <w:lang w:eastAsia="ru-RU"/>
        </w:rPr>
        <w:t xml:space="preserve"> </w:t>
      </w:r>
      <w:r w:rsidRPr="00164161">
        <w:rPr>
          <w:rFonts w:ascii="Times New Roman" w:eastAsia="Times New Roman" w:hAnsi="Times New Roman" w:cs="Times New Roman"/>
          <w:b/>
          <w:i/>
          <w:lang w:eastAsia="ru-RU"/>
        </w:rPr>
        <w:t>Договор и обязательство Поручителя (поручительство) действуют с даты подписания Договора по «10» мая 2024 года включительно.</w:t>
      </w:r>
    </w:p>
    <w:p w:rsidR="00211024" w:rsidRPr="00164161" w:rsidRDefault="00211024" w:rsidP="00211024">
      <w:pPr>
        <w:spacing w:line="276" w:lineRule="auto"/>
        <w:jc w:val="both"/>
        <w:rPr>
          <w:rFonts w:cstheme="minorHAnsi"/>
          <w:color w:val="000000" w:themeColor="text1"/>
        </w:rPr>
      </w:pPr>
      <w:r w:rsidRPr="00164161">
        <w:rPr>
          <w:rFonts w:cstheme="minorHAnsi"/>
          <w:color w:val="000000" w:themeColor="text1"/>
        </w:rPr>
        <w:t>Заинтересованные лица:</w:t>
      </w:r>
    </w:p>
    <w:p w:rsidR="00211024" w:rsidRPr="00164161" w:rsidRDefault="00211024" w:rsidP="00211024">
      <w:pPr>
        <w:spacing w:after="0" w:line="240" w:lineRule="auto"/>
        <w:jc w:val="both"/>
        <w:rPr>
          <w:rFonts w:ascii="Times New Roman" w:hAnsi="Times New Roman" w:cs="Times New Roman"/>
          <w:b/>
          <w:i/>
        </w:rPr>
      </w:pPr>
      <w:r w:rsidRPr="00164161">
        <w:rPr>
          <w:rFonts w:ascii="Times New Roman" w:hAnsi="Times New Roman" w:cs="Times New Roman"/>
          <w:b/>
          <w:i/>
        </w:rPr>
        <w:t>а) Елисеев Александр Леонидович - конечный бенефициар ПАО «ГТМ» и ООО «</w:t>
      </w:r>
      <w:proofErr w:type="spellStart"/>
      <w:r w:rsidRPr="00164161">
        <w:rPr>
          <w:rFonts w:ascii="Times New Roman" w:hAnsi="Times New Roman" w:cs="Times New Roman"/>
          <w:b/>
          <w:i/>
        </w:rPr>
        <w:t>Глобалтрак</w:t>
      </w:r>
      <w:proofErr w:type="spellEnd"/>
      <w:r w:rsidRPr="00164161">
        <w:rPr>
          <w:rFonts w:ascii="Times New Roman" w:hAnsi="Times New Roman" w:cs="Times New Roman"/>
          <w:b/>
          <w:i/>
        </w:rPr>
        <w:t xml:space="preserve"> </w:t>
      </w:r>
      <w:proofErr w:type="spellStart"/>
      <w:r w:rsidRPr="00164161">
        <w:rPr>
          <w:rFonts w:ascii="Times New Roman" w:hAnsi="Times New Roman" w:cs="Times New Roman"/>
          <w:b/>
          <w:i/>
        </w:rPr>
        <w:t>Лоджистик</w:t>
      </w:r>
      <w:proofErr w:type="spellEnd"/>
      <w:r w:rsidRPr="00164161">
        <w:rPr>
          <w:rFonts w:ascii="Times New Roman" w:hAnsi="Times New Roman" w:cs="Times New Roman"/>
          <w:b/>
          <w:i/>
        </w:rPr>
        <w:t>»;</w:t>
      </w:r>
    </w:p>
    <w:p w:rsidR="00211024" w:rsidRPr="00164161" w:rsidRDefault="00211024" w:rsidP="00211024">
      <w:pPr>
        <w:spacing w:after="0" w:line="240" w:lineRule="auto"/>
        <w:jc w:val="both"/>
        <w:rPr>
          <w:rFonts w:ascii="Times New Roman" w:hAnsi="Times New Roman" w:cs="Times New Roman"/>
          <w:b/>
          <w:i/>
        </w:rPr>
      </w:pPr>
      <w:r w:rsidRPr="00164161">
        <w:rPr>
          <w:rFonts w:ascii="Times New Roman" w:hAnsi="Times New Roman" w:cs="Times New Roman"/>
          <w:b/>
          <w:i/>
        </w:rPr>
        <w:t>б) Лесных Денис Николаевич – данное лицо является членом Совета директоров Эмитента и одновременно является членом Совета директоров ООО «</w:t>
      </w:r>
      <w:proofErr w:type="spellStart"/>
      <w:r w:rsidRPr="00164161">
        <w:rPr>
          <w:rFonts w:ascii="Times New Roman" w:hAnsi="Times New Roman" w:cs="Times New Roman"/>
          <w:b/>
          <w:i/>
        </w:rPr>
        <w:t>Глобалтрак</w:t>
      </w:r>
      <w:proofErr w:type="spellEnd"/>
      <w:r w:rsidRPr="00164161">
        <w:rPr>
          <w:rFonts w:ascii="Times New Roman" w:hAnsi="Times New Roman" w:cs="Times New Roman"/>
          <w:b/>
          <w:i/>
        </w:rPr>
        <w:t xml:space="preserve"> </w:t>
      </w:r>
      <w:proofErr w:type="spellStart"/>
      <w:r w:rsidRPr="00164161">
        <w:rPr>
          <w:rFonts w:ascii="Times New Roman" w:hAnsi="Times New Roman" w:cs="Times New Roman"/>
          <w:b/>
          <w:i/>
        </w:rPr>
        <w:t>Лоджистик</w:t>
      </w:r>
      <w:proofErr w:type="spellEnd"/>
      <w:r w:rsidRPr="00164161">
        <w:rPr>
          <w:rFonts w:ascii="Times New Roman" w:hAnsi="Times New Roman" w:cs="Times New Roman"/>
          <w:b/>
          <w:i/>
        </w:rPr>
        <w:t>»;</w:t>
      </w:r>
    </w:p>
    <w:p w:rsidR="00211024" w:rsidRPr="00164161" w:rsidRDefault="00211024" w:rsidP="00211024">
      <w:pPr>
        <w:spacing w:line="276" w:lineRule="auto"/>
        <w:jc w:val="both"/>
        <w:rPr>
          <w:rFonts w:ascii="Times New Roman" w:hAnsi="Times New Roman" w:cs="Times New Roman"/>
          <w:b/>
          <w:i/>
        </w:rPr>
      </w:pPr>
      <w:r w:rsidRPr="00164161">
        <w:rPr>
          <w:rFonts w:ascii="Times New Roman" w:hAnsi="Times New Roman" w:cs="Times New Roman"/>
          <w:b/>
          <w:i/>
        </w:rPr>
        <w:t>в) Маркунина Елизавета Анатольевна - данное лицо является членом Совета директоров Эмитента и одновременно является членом Совета директоров ООО «</w:t>
      </w:r>
      <w:proofErr w:type="spellStart"/>
      <w:r w:rsidRPr="00164161">
        <w:rPr>
          <w:rFonts w:ascii="Times New Roman" w:hAnsi="Times New Roman" w:cs="Times New Roman"/>
          <w:b/>
          <w:i/>
        </w:rPr>
        <w:t>Глобалтрак</w:t>
      </w:r>
      <w:proofErr w:type="spellEnd"/>
      <w:r w:rsidRPr="00164161">
        <w:rPr>
          <w:rFonts w:ascii="Times New Roman" w:hAnsi="Times New Roman" w:cs="Times New Roman"/>
          <w:b/>
          <w:i/>
        </w:rPr>
        <w:t xml:space="preserve"> </w:t>
      </w:r>
      <w:proofErr w:type="spellStart"/>
      <w:r w:rsidRPr="00164161">
        <w:rPr>
          <w:rFonts w:ascii="Times New Roman" w:hAnsi="Times New Roman" w:cs="Times New Roman"/>
          <w:b/>
          <w:i/>
        </w:rPr>
        <w:t>Лоджистик</w:t>
      </w:r>
      <w:proofErr w:type="spellEnd"/>
      <w:r w:rsidRPr="00164161">
        <w:rPr>
          <w:rFonts w:ascii="Times New Roman" w:hAnsi="Times New Roman" w:cs="Times New Roman"/>
          <w:b/>
          <w:i/>
        </w:rPr>
        <w:t>».</w:t>
      </w:r>
    </w:p>
    <w:p w:rsidR="00211024" w:rsidRPr="00164161" w:rsidRDefault="00211024" w:rsidP="00211024">
      <w:pPr>
        <w:spacing w:line="276" w:lineRule="auto"/>
        <w:jc w:val="both"/>
        <w:rPr>
          <w:rFonts w:cstheme="minorHAnsi"/>
          <w:b/>
          <w:i/>
          <w:color w:val="000000" w:themeColor="text1"/>
        </w:rPr>
      </w:pPr>
      <w:r w:rsidRPr="00164161">
        <w:rPr>
          <w:rFonts w:cstheme="minorHAnsi"/>
          <w:color w:val="000000" w:themeColor="text1"/>
        </w:rPr>
        <w:t xml:space="preserve">Размер (цена) сделки (указывается в денежном выражении и в процентах от балансовой стоимости активов эмитента на дату окончания последнего завершенного отчетного периода, предшествующего дате совершения сделки: </w:t>
      </w:r>
      <w:r w:rsidRPr="00164161">
        <w:rPr>
          <w:rFonts w:ascii="Times New Roman" w:hAnsi="Times New Roman" w:cs="Times New Roman"/>
          <w:b/>
          <w:i/>
        </w:rPr>
        <w:t>1 031 325 089 (один миллиард тридцать один миллион триста двадцать пять тысяч восемьдесят девять) рублей 83 копейки, 16,1% от балансовой стоимости активов эмитента на 30.09.2018.</w:t>
      </w:r>
    </w:p>
    <w:p w:rsidR="00211024" w:rsidRPr="00164161" w:rsidRDefault="00211024" w:rsidP="00211024">
      <w:pPr>
        <w:spacing w:line="276" w:lineRule="auto"/>
        <w:jc w:val="both"/>
        <w:rPr>
          <w:rFonts w:cstheme="minorHAnsi"/>
          <w:b/>
          <w:i/>
          <w:color w:val="000000" w:themeColor="text1"/>
        </w:rPr>
      </w:pPr>
      <w:r w:rsidRPr="00164161">
        <w:rPr>
          <w:rFonts w:cstheme="minorHAnsi"/>
          <w:color w:val="000000" w:themeColor="text1"/>
        </w:rPr>
        <w:t xml:space="preserve">Орган управления эмитента, принявший решение о согласии на совершение или о последующем одобрении сделки, дата принятия соответствующего решения (дата составления и номер протокола), либо указание на то, что такое решение не принималось: </w:t>
      </w:r>
      <w:r w:rsidRPr="00164161">
        <w:rPr>
          <w:rFonts w:ascii="Times New Roman" w:eastAsiaTheme="minorEastAsia" w:hAnsi="Times New Roman" w:cs="Times New Roman"/>
          <w:b/>
          <w:i/>
          <w:szCs w:val="24"/>
          <w:lang w:eastAsia="ru-RU"/>
        </w:rPr>
        <w:t>Извещение о планируемом совершении указанной сделки с заинтересованностью было направлено членам Совета директоров 03 декабря 2018 года. Требований об одобрении сделки, как сделки с заинтересованностью, в ПАО «ГТМ» не поступило.</w:t>
      </w:r>
    </w:p>
    <w:p w:rsidR="00211024" w:rsidRPr="00164161" w:rsidRDefault="00211024" w:rsidP="00211024">
      <w:pPr>
        <w:spacing w:line="276" w:lineRule="auto"/>
        <w:jc w:val="both"/>
        <w:rPr>
          <w:rFonts w:cstheme="minorHAnsi"/>
          <w:b/>
          <w:i/>
          <w:color w:val="000000" w:themeColor="text1"/>
        </w:rPr>
      </w:pPr>
    </w:p>
    <w:p w:rsidR="00211024" w:rsidRPr="00B7723A" w:rsidRDefault="00211024" w:rsidP="00211024">
      <w:pPr>
        <w:spacing w:line="276" w:lineRule="auto"/>
        <w:jc w:val="both"/>
        <w:rPr>
          <w:rFonts w:cstheme="minorHAnsi"/>
          <w:b/>
          <w:i/>
          <w:color w:val="000000" w:themeColor="text1"/>
        </w:rPr>
      </w:pPr>
      <w:r>
        <w:rPr>
          <w:rFonts w:ascii="Times New Roman" w:eastAsiaTheme="minorEastAsia" w:hAnsi="Times New Roman" w:cs="Times New Roman"/>
          <w:b/>
          <w:i/>
          <w:szCs w:val="24"/>
          <w:lang w:eastAsia="ru-RU"/>
        </w:rPr>
        <w:t xml:space="preserve">2. </w:t>
      </w:r>
      <w:r w:rsidRPr="00B7723A">
        <w:rPr>
          <w:rFonts w:ascii="Times New Roman" w:eastAsiaTheme="minorEastAsia" w:hAnsi="Times New Roman" w:cs="Times New Roman"/>
          <w:b/>
          <w:i/>
          <w:szCs w:val="24"/>
          <w:lang w:eastAsia="ru-RU"/>
        </w:rPr>
        <w:t>Договор</w:t>
      </w:r>
      <w:r w:rsidRPr="00B7723A">
        <w:rPr>
          <w:rFonts w:ascii="Times New Roman" w:eastAsiaTheme="minorEastAsia" w:hAnsi="Times New Roman" w:cs="Times New Roman"/>
          <w:szCs w:val="24"/>
          <w:lang w:eastAsia="ru-RU"/>
        </w:rPr>
        <w:t xml:space="preserve"> </w:t>
      </w:r>
      <w:r w:rsidRPr="00B7723A">
        <w:rPr>
          <w:rFonts w:ascii="Times New Roman" w:eastAsiaTheme="minorEastAsia" w:hAnsi="Times New Roman" w:cs="Times New Roman"/>
          <w:b/>
          <w:i/>
          <w:szCs w:val="24"/>
          <w:lang w:eastAsia="ru-RU"/>
        </w:rPr>
        <w:t>поручительства с Публичным акционерным обществом РОСБАНК</w:t>
      </w:r>
    </w:p>
    <w:p w:rsidR="00211024" w:rsidRPr="00164161" w:rsidRDefault="00211024" w:rsidP="00211024">
      <w:pPr>
        <w:spacing w:line="276" w:lineRule="auto"/>
        <w:rPr>
          <w:rFonts w:cstheme="minorHAnsi"/>
          <w:b/>
          <w:i/>
          <w:color w:val="000000" w:themeColor="text1"/>
        </w:rPr>
      </w:pPr>
      <w:r w:rsidRPr="00164161">
        <w:rPr>
          <w:rFonts w:cstheme="minorHAnsi"/>
          <w:color w:val="000000" w:themeColor="text1"/>
        </w:rPr>
        <w:t>Дата совершения сделки:</w:t>
      </w:r>
      <w:r w:rsidRPr="00164161">
        <w:rPr>
          <w:rFonts w:cstheme="minorHAnsi"/>
          <w:b/>
          <w:i/>
          <w:color w:val="000000" w:themeColor="text1"/>
        </w:rPr>
        <w:t xml:space="preserve"> 20.03.2019 г.</w:t>
      </w:r>
    </w:p>
    <w:p w:rsidR="00211024" w:rsidRPr="00164161" w:rsidRDefault="00211024" w:rsidP="00211024">
      <w:pPr>
        <w:spacing w:line="276" w:lineRule="auto"/>
        <w:rPr>
          <w:rFonts w:cstheme="minorHAnsi"/>
          <w:color w:val="000000" w:themeColor="text1"/>
        </w:rPr>
      </w:pPr>
      <w:r w:rsidRPr="00164161">
        <w:rPr>
          <w:rFonts w:cstheme="minorHAnsi"/>
          <w:color w:val="000000" w:themeColor="text1"/>
        </w:rPr>
        <w:t>Лицо (лица), являющееся стороной (сторонами) и выгодоприобретателем (выгодоприобретателями) по сделке:</w:t>
      </w:r>
    </w:p>
    <w:p w:rsidR="00211024" w:rsidRPr="00164161" w:rsidRDefault="00211024" w:rsidP="00211024">
      <w:pPr>
        <w:pStyle w:val="ConsNonformat"/>
        <w:jc w:val="both"/>
        <w:rPr>
          <w:rFonts w:ascii="Times New Roman" w:hAnsi="Times New Roman" w:cs="Times New Roman"/>
          <w:b/>
          <w:i/>
          <w:sz w:val="22"/>
          <w:szCs w:val="22"/>
        </w:rPr>
      </w:pPr>
      <w:r w:rsidRPr="00164161">
        <w:rPr>
          <w:rFonts w:ascii="Times New Roman" w:hAnsi="Times New Roman" w:cs="Times New Roman"/>
          <w:b/>
          <w:i/>
          <w:sz w:val="22"/>
          <w:szCs w:val="22"/>
        </w:rPr>
        <w:t>Банк: Публичное акционерное общество РОСБАНК</w:t>
      </w:r>
    </w:p>
    <w:p w:rsidR="00211024" w:rsidRPr="00164161" w:rsidRDefault="00211024" w:rsidP="00211024">
      <w:pPr>
        <w:pStyle w:val="ConsNonformat"/>
        <w:jc w:val="both"/>
        <w:rPr>
          <w:rFonts w:ascii="Times New Roman" w:hAnsi="Times New Roman" w:cs="Times New Roman"/>
          <w:b/>
          <w:i/>
          <w:sz w:val="22"/>
          <w:szCs w:val="22"/>
        </w:rPr>
      </w:pPr>
      <w:r w:rsidRPr="00164161">
        <w:rPr>
          <w:rFonts w:ascii="Times New Roman" w:hAnsi="Times New Roman" w:cs="Times New Roman"/>
          <w:b/>
          <w:i/>
          <w:sz w:val="22"/>
          <w:szCs w:val="22"/>
        </w:rPr>
        <w:t>Поручитель: ПАО «ГТМ»</w:t>
      </w:r>
    </w:p>
    <w:p w:rsidR="00211024" w:rsidRPr="00164161" w:rsidRDefault="00211024" w:rsidP="00211024">
      <w:pPr>
        <w:spacing w:line="276" w:lineRule="auto"/>
        <w:rPr>
          <w:rFonts w:ascii="Times New Roman" w:hAnsi="Times New Roman" w:cs="Times New Roman"/>
          <w:b/>
          <w:i/>
        </w:rPr>
      </w:pPr>
      <w:r w:rsidRPr="00164161">
        <w:rPr>
          <w:rFonts w:ascii="Times New Roman" w:hAnsi="Times New Roman" w:cs="Times New Roman"/>
          <w:b/>
          <w:i/>
        </w:rPr>
        <w:t>Должник/Выгодоприобретатель: Общество с ограниченной ответственностью «</w:t>
      </w:r>
      <w:proofErr w:type="spellStart"/>
      <w:r w:rsidRPr="00164161">
        <w:rPr>
          <w:rFonts w:ascii="Times New Roman" w:hAnsi="Times New Roman" w:cs="Times New Roman"/>
          <w:b/>
          <w:i/>
        </w:rPr>
        <w:t>Лонгран</w:t>
      </w:r>
      <w:proofErr w:type="spellEnd"/>
      <w:r w:rsidRPr="00164161">
        <w:rPr>
          <w:rFonts w:ascii="Times New Roman" w:hAnsi="Times New Roman" w:cs="Times New Roman"/>
          <w:b/>
          <w:i/>
        </w:rPr>
        <w:t xml:space="preserve"> Логистик»</w:t>
      </w:r>
    </w:p>
    <w:p w:rsidR="00211024" w:rsidRPr="00164161" w:rsidRDefault="00211024" w:rsidP="00211024">
      <w:pPr>
        <w:spacing w:line="276" w:lineRule="auto"/>
        <w:rPr>
          <w:rFonts w:cstheme="minorHAnsi"/>
          <w:color w:val="000000" w:themeColor="text1"/>
        </w:rPr>
      </w:pPr>
      <w:r w:rsidRPr="00164161">
        <w:rPr>
          <w:rFonts w:cstheme="minorHAnsi"/>
          <w:color w:val="000000" w:themeColor="text1"/>
        </w:rPr>
        <w:t>Предмет и иные существенные условия сделки:</w:t>
      </w:r>
    </w:p>
    <w:p w:rsidR="00211024" w:rsidRPr="00164161" w:rsidRDefault="00211024" w:rsidP="00211024">
      <w:pPr>
        <w:tabs>
          <w:tab w:val="left" w:pos="6946"/>
        </w:tabs>
        <w:spacing w:after="0" w:line="240" w:lineRule="auto"/>
        <w:jc w:val="both"/>
        <w:rPr>
          <w:rFonts w:ascii="Times New Roman" w:eastAsiaTheme="minorEastAsia" w:hAnsi="Times New Roman" w:cs="Times New Roman"/>
          <w:b/>
          <w:i/>
          <w:szCs w:val="24"/>
          <w:lang w:eastAsia="ru-RU"/>
        </w:rPr>
      </w:pPr>
      <w:r w:rsidRPr="00164161">
        <w:rPr>
          <w:rFonts w:ascii="Times New Roman" w:eastAsiaTheme="minorEastAsia" w:hAnsi="Times New Roman" w:cs="Times New Roman"/>
          <w:b/>
          <w:i/>
          <w:szCs w:val="24"/>
          <w:lang w:eastAsia="ru-RU"/>
        </w:rPr>
        <w:t xml:space="preserve">В качестве обеспечения исполнения обязательств Должника перед Банком по Основному договору Поручитель обязуется отвечать солидарно с Должником перед Банком в полном объеме за исполнение Должником любых и всех его обязательств (включая настоящие обязательства и обязательства, </w:t>
      </w:r>
      <w:r w:rsidRPr="00164161">
        <w:rPr>
          <w:rFonts w:ascii="Times New Roman" w:eastAsiaTheme="minorEastAsia" w:hAnsi="Times New Roman" w:cs="Times New Roman"/>
          <w:b/>
          <w:i/>
          <w:szCs w:val="24"/>
          <w:lang w:eastAsia="ru-RU"/>
        </w:rPr>
        <w:lastRenderedPageBreak/>
        <w:t>которые могут возникнуть в будущем), возникающих из или в связи с Основным договором (далее – "Обеспеченные обязательства"), включая, но не ограничиваясь, обязательства по:</w:t>
      </w:r>
    </w:p>
    <w:p w:rsidR="00211024" w:rsidRPr="00164161" w:rsidRDefault="00211024" w:rsidP="00211024">
      <w:pPr>
        <w:tabs>
          <w:tab w:val="left" w:pos="6946"/>
        </w:tabs>
        <w:spacing w:after="0" w:line="240" w:lineRule="auto"/>
        <w:jc w:val="both"/>
        <w:rPr>
          <w:rFonts w:ascii="Times New Roman" w:eastAsiaTheme="minorEastAsia" w:hAnsi="Times New Roman" w:cs="Times New Roman"/>
          <w:b/>
          <w:i/>
          <w:szCs w:val="24"/>
          <w:lang w:eastAsia="ru-RU"/>
        </w:rPr>
      </w:pPr>
      <w:r w:rsidRPr="00164161">
        <w:rPr>
          <w:rFonts w:ascii="Times New Roman" w:eastAsiaTheme="minorEastAsia" w:hAnsi="Times New Roman" w:cs="Times New Roman"/>
          <w:b/>
          <w:i/>
          <w:szCs w:val="24"/>
          <w:lang w:eastAsia="ru-RU"/>
        </w:rPr>
        <w:t>1.  уплате суммы основного долга, процентов, любых иных платежей, комиссий и возмещений, включая, если применимо, компенсацию (уплату) любых затрат (в том числе, но не ограничиваясь, судебных издержек), а также процентов, неустоек (штрафов, пеней) и убытков Банка, возникающих в связи с защитой и соблюдением прав Банка по Основному договору и/или просрочкой исполнения; и</w:t>
      </w:r>
    </w:p>
    <w:p w:rsidR="00211024" w:rsidRPr="00164161" w:rsidRDefault="00211024" w:rsidP="00211024">
      <w:pPr>
        <w:tabs>
          <w:tab w:val="left" w:pos="6946"/>
        </w:tabs>
        <w:spacing w:after="0" w:line="240" w:lineRule="auto"/>
        <w:jc w:val="both"/>
        <w:rPr>
          <w:rFonts w:ascii="Times New Roman" w:eastAsiaTheme="minorEastAsia" w:hAnsi="Times New Roman" w:cs="Times New Roman"/>
          <w:b/>
          <w:i/>
          <w:szCs w:val="24"/>
          <w:lang w:eastAsia="ru-RU"/>
        </w:rPr>
      </w:pPr>
      <w:r w:rsidRPr="00164161">
        <w:rPr>
          <w:rFonts w:ascii="Times New Roman" w:eastAsiaTheme="minorEastAsia" w:hAnsi="Times New Roman" w:cs="Times New Roman"/>
          <w:b/>
          <w:i/>
          <w:szCs w:val="24"/>
          <w:lang w:eastAsia="ru-RU"/>
        </w:rPr>
        <w:t>2. возврату (или возмещению) денежных средств, причитающихся Банку в соответствии с Основным договором, а также по уплате процентов, возникающих в силу закона, в случае если Основной договор или какое-либо его положение признается недействительным (включая, если применимо, требования о возмещении, возникающие на основании Статьи 167 и/или Главы 60 Гражданского кодекса Российской Федерации (далее – "ГК РФ")), а также, если применимо, обязательства Должника возместить любые затраты и убытки Банка, связанные с такой недействительностью.</w:t>
      </w:r>
    </w:p>
    <w:p w:rsidR="00211024" w:rsidRPr="00164161" w:rsidRDefault="00211024" w:rsidP="00211024">
      <w:pPr>
        <w:widowControl w:val="0"/>
        <w:spacing w:after="0" w:line="240" w:lineRule="auto"/>
        <w:jc w:val="both"/>
        <w:rPr>
          <w:rFonts w:ascii="Times New Roman" w:eastAsiaTheme="minorEastAsia" w:hAnsi="Times New Roman" w:cs="Times New Roman"/>
          <w:b/>
          <w:i/>
          <w:szCs w:val="24"/>
        </w:rPr>
      </w:pPr>
      <w:r w:rsidRPr="00164161">
        <w:rPr>
          <w:rFonts w:ascii="Times New Roman" w:eastAsiaTheme="minorEastAsia" w:hAnsi="Times New Roman" w:cs="Times New Roman"/>
          <w:b/>
          <w:i/>
          <w:szCs w:val="24"/>
        </w:rPr>
        <w:t xml:space="preserve">Основной Договор: Договор об открытии </w:t>
      </w:r>
      <w:proofErr w:type="spellStart"/>
      <w:r w:rsidRPr="00164161">
        <w:rPr>
          <w:rFonts w:ascii="Times New Roman" w:eastAsiaTheme="minorEastAsia" w:hAnsi="Times New Roman" w:cs="Times New Roman"/>
          <w:b/>
          <w:i/>
          <w:szCs w:val="24"/>
        </w:rPr>
        <w:t>невозобновляемой</w:t>
      </w:r>
      <w:proofErr w:type="spellEnd"/>
      <w:r w:rsidRPr="00164161">
        <w:rPr>
          <w:rFonts w:ascii="Times New Roman" w:eastAsiaTheme="minorEastAsia" w:hAnsi="Times New Roman" w:cs="Times New Roman"/>
          <w:b/>
          <w:i/>
          <w:szCs w:val="24"/>
        </w:rPr>
        <w:t xml:space="preserve"> кредитной линии между Банком и Должником</w:t>
      </w:r>
    </w:p>
    <w:p w:rsidR="00211024" w:rsidRPr="00164161" w:rsidRDefault="00211024" w:rsidP="00211024">
      <w:pPr>
        <w:pStyle w:val="ConsNonformat"/>
        <w:jc w:val="both"/>
        <w:rPr>
          <w:rFonts w:ascii="Times New Roman" w:hAnsi="Times New Roman" w:cs="Times New Roman"/>
          <w:b/>
          <w:i/>
          <w:sz w:val="22"/>
          <w:szCs w:val="22"/>
        </w:rPr>
      </w:pPr>
      <w:r w:rsidRPr="00164161">
        <w:rPr>
          <w:rFonts w:ascii="Times New Roman" w:hAnsi="Times New Roman" w:cs="Times New Roman"/>
          <w:b/>
          <w:i/>
          <w:sz w:val="22"/>
          <w:szCs w:val="22"/>
        </w:rPr>
        <w:t xml:space="preserve">Поручитель отвечает в объеме и на условиях, установленных Договором поручительства. </w:t>
      </w:r>
    </w:p>
    <w:p w:rsidR="00211024" w:rsidRPr="00164161" w:rsidRDefault="00211024" w:rsidP="00211024">
      <w:pPr>
        <w:pStyle w:val="ConsNonformat"/>
        <w:jc w:val="both"/>
        <w:rPr>
          <w:rFonts w:ascii="Times New Roman" w:hAnsi="Times New Roman" w:cs="Times New Roman"/>
          <w:b/>
          <w:i/>
          <w:sz w:val="22"/>
          <w:szCs w:val="22"/>
        </w:rPr>
      </w:pPr>
      <w:r w:rsidRPr="00164161">
        <w:rPr>
          <w:rFonts w:ascii="Times New Roman" w:hAnsi="Times New Roman" w:cs="Times New Roman"/>
          <w:b/>
          <w:i/>
          <w:sz w:val="22"/>
          <w:szCs w:val="22"/>
        </w:rPr>
        <w:t>На любую сумму, не уплаченную Заемщиком в срок, установленный Договором, Банк вправе начислять неустойку в размере 0,07 % (ноль целых семь сотых процентов)] от суммы не поступившего в срок платежа за каждый день просрочки.</w:t>
      </w:r>
    </w:p>
    <w:p w:rsidR="00211024" w:rsidRPr="00164161" w:rsidRDefault="00211024" w:rsidP="00211024">
      <w:pPr>
        <w:pStyle w:val="ConsNonformat"/>
        <w:jc w:val="both"/>
        <w:rPr>
          <w:rFonts w:ascii="Times New Roman" w:hAnsi="Times New Roman" w:cs="Times New Roman"/>
          <w:b/>
          <w:i/>
          <w:sz w:val="22"/>
          <w:szCs w:val="22"/>
        </w:rPr>
      </w:pPr>
      <w:r w:rsidRPr="00164161">
        <w:rPr>
          <w:rFonts w:ascii="Times New Roman" w:hAnsi="Times New Roman" w:cs="Times New Roman"/>
          <w:b/>
          <w:i/>
          <w:sz w:val="22"/>
          <w:szCs w:val="22"/>
        </w:rPr>
        <w:t>Неустойка начисляется за весь период просрочки, начиная с даты, следующей за днем, в который должен был быть произведен соответствующий платеж, до даты зачисления соответствующей суммы на счет Банка, и уплачивается одновременно с погашением соответствующей части Основного долга и иных платежей, на которые она начислена.</w:t>
      </w:r>
    </w:p>
    <w:p w:rsidR="00211024" w:rsidRPr="00164161" w:rsidRDefault="00211024" w:rsidP="00211024">
      <w:pPr>
        <w:widowControl w:val="0"/>
        <w:spacing w:after="0" w:line="240" w:lineRule="auto"/>
        <w:jc w:val="both"/>
        <w:rPr>
          <w:rFonts w:ascii="Times New Roman" w:hAnsi="Times New Roman" w:cs="Times New Roman"/>
          <w:b/>
          <w:i/>
        </w:rPr>
      </w:pPr>
    </w:p>
    <w:p w:rsidR="00211024" w:rsidRPr="00164161" w:rsidRDefault="00211024" w:rsidP="00211024">
      <w:pPr>
        <w:widowControl w:val="0"/>
        <w:spacing w:after="0" w:line="240" w:lineRule="auto"/>
        <w:jc w:val="both"/>
        <w:rPr>
          <w:rFonts w:ascii="Times New Roman" w:eastAsia="Times New Roman" w:hAnsi="Times New Roman" w:cs="Times New Roman"/>
          <w:b/>
          <w:i/>
          <w:lang w:eastAsia="ru-RU"/>
        </w:rPr>
      </w:pPr>
      <w:r w:rsidRPr="00164161">
        <w:rPr>
          <w:rFonts w:eastAsiaTheme="minorEastAsia" w:cs="Times New Roman"/>
          <w:lang w:eastAsia="ru-RU"/>
        </w:rPr>
        <w:t>Сведения об исполнении обязательств по Сделке:</w:t>
      </w:r>
      <w:r w:rsidRPr="00164161">
        <w:rPr>
          <w:rFonts w:eastAsiaTheme="minorEastAsia" w:cs="Times New Roman"/>
          <w:b/>
          <w:i/>
          <w:lang w:eastAsia="ru-RU"/>
        </w:rPr>
        <w:t xml:space="preserve"> </w:t>
      </w:r>
      <w:r w:rsidRPr="00164161">
        <w:rPr>
          <w:rFonts w:ascii="Times New Roman" w:eastAsia="Times New Roman" w:hAnsi="Times New Roman" w:cs="Times New Roman"/>
          <w:b/>
          <w:i/>
          <w:lang w:eastAsia="ru-RU"/>
        </w:rPr>
        <w:t>Договор и обязательство Поручителя (поручительство) действуют с даты подписания Договора по «10» мая 2024 года включительно.</w:t>
      </w:r>
    </w:p>
    <w:p w:rsidR="00211024" w:rsidRPr="00164161" w:rsidRDefault="00211024" w:rsidP="00211024">
      <w:pPr>
        <w:spacing w:line="276" w:lineRule="auto"/>
        <w:jc w:val="both"/>
        <w:rPr>
          <w:rFonts w:cstheme="minorHAnsi"/>
          <w:color w:val="000000" w:themeColor="text1"/>
        </w:rPr>
      </w:pPr>
      <w:r w:rsidRPr="00164161">
        <w:rPr>
          <w:rFonts w:cstheme="minorHAnsi"/>
          <w:color w:val="000000" w:themeColor="text1"/>
        </w:rPr>
        <w:t>Заинтересованные лица:</w:t>
      </w:r>
    </w:p>
    <w:p w:rsidR="00211024" w:rsidRPr="00164161" w:rsidRDefault="00211024" w:rsidP="00211024">
      <w:pPr>
        <w:spacing w:after="0" w:line="240" w:lineRule="auto"/>
        <w:jc w:val="both"/>
        <w:rPr>
          <w:rFonts w:ascii="Times New Roman" w:hAnsi="Times New Roman" w:cs="Times New Roman"/>
          <w:b/>
          <w:i/>
        </w:rPr>
      </w:pPr>
      <w:r w:rsidRPr="00164161">
        <w:rPr>
          <w:rFonts w:ascii="Times New Roman" w:hAnsi="Times New Roman" w:cs="Times New Roman"/>
          <w:b/>
          <w:i/>
        </w:rPr>
        <w:t>а) Елисеев Александр Леонидович - конечный бенефициар ПАО «ГТМ» и ООО «</w:t>
      </w:r>
      <w:proofErr w:type="spellStart"/>
      <w:r w:rsidRPr="00164161">
        <w:rPr>
          <w:rFonts w:ascii="Times New Roman" w:hAnsi="Times New Roman" w:cs="Times New Roman"/>
          <w:b/>
          <w:i/>
        </w:rPr>
        <w:t>Лонгран</w:t>
      </w:r>
      <w:proofErr w:type="spellEnd"/>
      <w:r w:rsidRPr="00164161">
        <w:rPr>
          <w:rFonts w:ascii="Times New Roman" w:hAnsi="Times New Roman" w:cs="Times New Roman"/>
          <w:b/>
          <w:i/>
        </w:rPr>
        <w:t xml:space="preserve"> Логистик»;</w:t>
      </w:r>
    </w:p>
    <w:p w:rsidR="00211024" w:rsidRPr="00164161" w:rsidRDefault="00211024" w:rsidP="00211024">
      <w:pPr>
        <w:spacing w:line="276" w:lineRule="auto"/>
        <w:jc w:val="both"/>
        <w:rPr>
          <w:rFonts w:ascii="Times New Roman" w:hAnsi="Times New Roman" w:cs="Times New Roman"/>
          <w:b/>
          <w:i/>
        </w:rPr>
      </w:pPr>
      <w:r w:rsidRPr="00164161">
        <w:rPr>
          <w:rFonts w:ascii="Times New Roman" w:hAnsi="Times New Roman" w:cs="Times New Roman"/>
          <w:b/>
          <w:i/>
        </w:rPr>
        <w:t>б) Лесных Денис Николаевич – данное лицо является членом Совета директоров Эмитента и одновременно является членом Совета директоров ООО «</w:t>
      </w:r>
      <w:proofErr w:type="spellStart"/>
      <w:r w:rsidRPr="00164161">
        <w:rPr>
          <w:rFonts w:ascii="Times New Roman" w:hAnsi="Times New Roman" w:cs="Times New Roman"/>
          <w:b/>
          <w:i/>
        </w:rPr>
        <w:t>Лонгран</w:t>
      </w:r>
      <w:proofErr w:type="spellEnd"/>
      <w:r w:rsidRPr="00164161">
        <w:rPr>
          <w:rFonts w:ascii="Times New Roman" w:hAnsi="Times New Roman" w:cs="Times New Roman"/>
          <w:b/>
          <w:i/>
        </w:rPr>
        <w:t xml:space="preserve"> Логистик».</w:t>
      </w:r>
    </w:p>
    <w:p w:rsidR="00211024" w:rsidRPr="00164161" w:rsidRDefault="00211024" w:rsidP="00211024">
      <w:pPr>
        <w:spacing w:line="276" w:lineRule="auto"/>
        <w:jc w:val="both"/>
        <w:rPr>
          <w:rFonts w:ascii="Times New Roman" w:hAnsi="Times New Roman" w:cs="Times New Roman"/>
          <w:b/>
          <w:i/>
        </w:rPr>
      </w:pPr>
      <w:r w:rsidRPr="00164161">
        <w:rPr>
          <w:rFonts w:cstheme="minorHAnsi"/>
          <w:color w:val="000000" w:themeColor="text1"/>
        </w:rPr>
        <w:t xml:space="preserve">Размер (цена) сделки (указывается в денежном выражении и в процентах от балансовой стоимости активов эмитента на дату окончания последнего завершенного отчетного периода, предшествующего дате совершения сделки: </w:t>
      </w:r>
      <w:r w:rsidRPr="00164161">
        <w:rPr>
          <w:rFonts w:ascii="Times New Roman" w:hAnsi="Times New Roman" w:cs="Times New Roman"/>
          <w:b/>
          <w:i/>
        </w:rPr>
        <w:t>1 080 000 000 (один миллиард восемьдесят миллионов) рублей, 16,87% от балансовой стоимости активов эмитента на 30.09.2018.</w:t>
      </w:r>
    </w:p>
    <w:p w:rsidR="00211024" w:rsidRPr="00164161" w:rsidRDefault="00211024" w:rsidP="00211024">
      <w:pPr>
        <w:spacing w:line="276" w:lineRule="auto"/>
        <w:jc w:val="both"/>
        <w:rPr>
          <w:rFonts w:cstheme="minorHAnsi"/>
          <w:b/>
          <w:i/>
          <w:color w:val="000000" w:themeColor="text1"/>
        </w:rPr>
      </w:pPr>
      <w:r w:rsidRPr="00164161">
        <w:rPr>
          <w:rFonts w:cstheme="minorHAnsi"/>
          <w:color w:val="000000" w:themeColor="text1"/>
        </w:rPr>
        <w:t xml:space="preserve">Орган управления эмитента, принявший решение о согласии на совершение или о последующем одобрении сделки, дата принятия соответствующего решения (дата составления и номер протокола), либо указание на то, что такое решение не принималось: </w:t>
      </w:r>
      <w:r w:rsidRPr="00164161">
        <w:rPr>
          <w:rFonts w:ascii="Times New Roman" w:eastAsiaTheme="minorEastAsia" w:hAnsi="Times New Roman" w:cs="Times New Roman"/>
          <w:b/>
          <w:i/>
          <w:szCs w:val="24"/>
          <w:lang w:eastAsia="ru-RU"/>
        </w:rPr>
        <w:t>Извещение о планируемом совершении указанной сделки с заинтересованностью было направлено членам Совета директоров 03 декабря 2018 года. Требований об одобрении сделки, как сделки с заинтересованностью, в ПАО «ГТМ» не поступило.</w:t>
      </w:r>
    </w:p>
    <w:p w:rsidR="00211024" w:rsidRPr="00211024" w:rsidRDefault="00211024" w:rsidP="00211024">
      <w:pPr>
        <w:tabs>
          <w:tab w:val="left" w:pos="4440"/>
        </w:tabs>
        <w:jc w:val="both"/>
        <w:rPr>
          <w:bCs/>
          <w:iCs/>
        </w:rPr>
      </w:pPr>
      <w:bookmarkStart w:id="0" w:name="_GoBack"/>
      <w:bookmarkEnd w:id="0"/>
    </w:p>
    <w:sectPr w:rsidR="00211024" w:rsidRPr="00211024" w:rsidSect="00523689">
      <w:pgSz w:w="11906" w:h="16838"/>
      <w:pgMar w:top="1134" w:right="850" w:bottom="1134"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3" w:usb2="00000009" w:usb3="00000000" w:csb0="000001FF" w:csb1="00000000"/>
  </w:font>
  <w:font w:name="Courier New">
    <w:altName w:val="Arial"/>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3689"/>
    <w:rsid w:val="00211024"/>
    <w:rsid w:val="00523689"/>
    <w:rsid w:val="00EF2A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7FBB8"/>
  <w15:chartTrackingRefBased/>
  <w15:docId w15:val="{81E50080-4F2F-4751-81B3-E61129CF4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1102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умерованый список"/>
    <w:basedOn w:val="a"/>
    <w:link w:val="a4"/>
    <w:uiPriority w:val="34"/>
    <w:qFormat/>
    <w:rsid w:val="00211024"/>
    <w:pPr>
      <w:ind w:left="720"/>
      <w:contextualSpacing/>
    </w:pPr>
  </w:style>
  <w:style w:type="character" w:customStyle="1" w:styleId="a4">
    <w:name w:val="Абзац списка Знак"/>
    <w:aliases w:val="Нумерованый список Знак"/>
    <w:link w:val="a3"/>
    <w:uiPriority w:val="34"/>
    <w:locked/>
    <w:rsid w:val="00211024"/>
  </w:style>
  <w:style w:type="paragraph" w:customStyle="1" w:styleId="ConsNonformat">
    <w:name w:val="ConsNonformat"/>
    <w:rsid w:val="002110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1208</Words>
  <Characters>7593</Characters>
  <Application>Microsoft Office Word</Application>
  <DocSecurity>0</DocSecurity>
  <Lines>161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Абрамова Юлия</dc:creator>
  <cp:keywords/>
  <dc:description/>
  <cp:lastModifiedBy>Абрамова Юлия</cp:lastModifiedBy>
  <cp:revision>1</cp:revision>
  <dcterms:created xsi:type="dcterms:W3CDTF">2020-06-09T11:19:00Z</dcterms:created>
  <dcterms:modified xsi:type="dcterms:W3CDTF">2020-06-09T11:27:00Z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-378918703</vt:i4>
  </property>
  <property fmtid="{D5CDD505-2E9C-101B-9397-08002B2CF9AE}" pid="3" name="_NewReviewCycle">
    <vt:lpwstr/>
  </property>
  <property fmtid="{D5CDD505-2E9C-101B-9397-08002B2CF9AE}" pid="4" name="_EmailSubject">
    <vt:lpwstr>для сайта</vt:lpwstr>
  </property>
  <property fmtid="{D5CDD505-2E9C-101B-9397-08002B2CF9AE}" pid="5" name="_AuthorEmail">
    <vt:lpwstr>abramova@tcm-trans.ru</vt:lpwstr>
  </property>
  <property fmtid="{D5CDD505-2E9C-101B-9397-08002B2CF9AE}" pid="6" name="_AuthorEmailDisplayName">
    <vt:lpwstr>Абрамова Юлия</vt:lpwstr>
  </property>
</Properties>
</file>