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8CCB6" w14:textId="77777777" w:rsidR="00451C78" w:rsidRDefault="00451C78" w:rsidP="00DE512C">
      <w:pPr>
        <w:pStyle w:val="5"/>
        <w:shd w:val="clear" w:color="auto" w:fill="auto"/>
        <w:spacing w:before="0"/>
        <w:ind w:right="20" w:firstLine="0"/>
        <w:rPr>
          <w:sz w:val="20"/>
          <w:szCs w:val="20"/>
        </w:rPr>
      </w:pPr>
    </w:p>
    <w:p w14:paraId="531FB662" w14:textId="77777777" w:rsidR="00451C78" w:rsidRDefault="00451C78" w:rsidP="00DE512C">
      <w:pPr>
        <w:pStyle w:val="5"/>
        <w:shd w:val="clear" w:color="auto" w:fill="auto"/>
        <w:spacing w:before="0"/>
        <w:ind w:right="20" w:firstLine="0"/>
        <w:rPr>
          <w:sz w:val="20"/>
          <w:szCs w:val="20"/>
        </w:rPr>
      </w:pPr>
    </w:p>
    <w:p w14:paraId="4F2900F3" w14:textId="5570C6B2" w:rsidR="00451C78" w:rsidRPr="00451C78" w:rsidRDefault="00451C78" w:rsidP="00451C78">
      <w:pPr>
        <w:pStyle w:val="5"/>
        <w:shd w:val="clear" w:color="auto" w:fill="auto"/>
        <w:spacing w:before="0" w:line="360" w:lineRule="auto"/>
        <w:ind w:right="23" w:firstLine="0"/>
        <w:rPr>
          <w:sz w:val="28"/>
          <w:szCs w:val="28"/>
        </w:rPr>
      </w:pPr>
      <w:r w:rsidRPr="00451C78">
        <w:rPr>
          <w:sz w:val="28"/>
          <w:szCs w:val="28"/>
        </w:rPr>
        <w:t>Сведения об организации,</w:t>
      </w:r>
    </w:p>
    <w:p w14:paraId="39C13EB5" w14:textId="628384C3" w:rsidR="00451C78" w:rsidRPr="00451C78" w:rsidRDefault="00451C78" w:rsidP="00451C78">
      <w:pPr>
        <w:pStyle w:val="5"/>
        <w:shd w:val="clear" w:color="auto" w:fill="auto"/>
        <w:spacing w:before="0" w:line="360" w:lineRule="auto"/>
        <w:ind w:right="23" w:firstLine="0"/>
        <w:rPr>
          <w:sz w:val="28"/>
          <w:szCs w:val="28"/>
        </w:rPr>
      </w:pPr>
      <w:r w:rsidRPr="00451C78">
        <w:rPr>
          <w:sz w:val="28"/>
          <w:szCs w:val="28"/>
        </w:rPr>
        <w:t>рекомендованной Советом директоров ПАО «ГТМ» для избрания</w:t>
      </w:r>
    </w:p>
    <w:p w14:paraId="53C6461E" w14:textId="30F9D194" w:rsidR="00451C78" w:rsidRPr="00451C78" w:rsidRDefault="00451C78" w:rsidP="00451C78">
      <w:pPr>
        <w:jc w:val="center"/>
        <w:outlineLvl w:val="0"/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</w:pPr>
      <w:r w:rsidRPr="00451C78"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  <w:t>в качестве аудитор</w:t>
      </w:r>
      <w:r w:rsidR="00364F67"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  <w:t>ской организации</w:t>
      </w:r>
      <w:bookmarkStart w:id="0" w:name="_GoBack"/>
      <w:bookmarkEnd w:id="0"/>
      <w:r w:rsidRPr="00451C78"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  <w:t xml:space="preserve"> ПАО «ГТМ» </w:t>
      </w:r>
    </w:p>
    <w:p w14:paraId="35462BD1" w14:textId="77777777" w:rsidR="00973DD0" w:rsidRDefault="00451C78" w:rsidP="00451C78">
      <w:pPr>
        <w:jc w:val="center"/>
        <w:outlineLvl w:val="0"/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</w:pPr>
      <w:r w:rsidRPr="00451C78"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  <w:t xml:space="preserve">для проверки финансово-хозяйственной деятельности ПАО «ГТМ» </w:t>
      </w:r>
    </w:p>
    <w:p w14:paraId="28C6FF0C" w14:textId="06E84407" w:rsidR="00451C78" w:rsidRPr="00451C78" w:rsidRDefault="00451C78" w:rsidP="00451C78">
      <w:pPr>
        <w:jc w:val="center"/>
        <w:outlineLvl w:val="0"/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</w:pPr>
      <w:r w:rsidRPr="00451C78"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  <w:t xml:space="preserve">по итогам </w:t>
      </w:r>
      <w:r w:rsidR="005E2789"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  <w:t>202</w:t>
      </w:r>
      <w:r w:rsidR="00E809EE" w:rsidRPr="00364F67"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  <w:t>6</w:t>
      </w:r>
      <w:r w:rsidRPr="00451C78"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  <w:t xml:space="preserve"> года</w:t>
      </w:r>
    </w:p>
    <w:p w14:paraId="4A66C864" w14:textId="77777777" w:rsidR="00451C78" w:rsidRPr="00451C78" w:rsidRDefault="00451C78" w:rsidP="00451C78">
      <w:pPr>
        <w:jc w:val="both"/>
        <w:outlineLvl w:val="0"/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</w:pPr>
    </w:p>
    <w:p w14:paraId="16A649DC" w14:textId="13785F64" w:rsidR="00451C78" w:rsidRPr="00BB2B69" w:rsidRDefault="00451C78" w:rsidP="00973DD0">
      <w:pPr>
        <w:jc w:val="both"/>
        <w:rPr>
          <w:rFonts w:eastAsia="Calibri" w:cs="Times New Roman"/>
          <w:bCs/>
          <w:i/>
          <w:color w:val="000000"/>
          <w:sz w:val="22"/>
          <w:szCs w:val="22"/>
          <w:shd w:val="clear" w:color="auto" w:fill="FFFFFF"/>
        </w:rPr>
      </w:pPr>
      <w:r w:rsidRPr="00C7716B">
        <w:rPr>
          <w:rFonts w:eastAsia="Calibri" w:cs="Times New Roman"/>
          <w:sz w:val="22"/>
          <w:szCs w:val="22"/>
        </w:rPr>
        <w:t xml:space="preserve">Полное </w:t>
      </w:r>
      <w:r w:rsidRPr="00BB2B69">
        <w:rPr>
          <w:rFonts w:eastAsia="Calibri" w:cs="Times New Roman"/>
          <w:sz w:val="22"/>
          <w:szCs w:val="22"/>
        </w:rPr>
        <w:t xml:space="preserve">фирменное наименование: </w:t>
      </w:r>
      <w:r w:rsidR="00BB11E4" w:rsidRPr="00BB2B69">
        <w:rPr>
          <w:rFonts w:cs="Times New Roman"/>
          <w:b/>
          <w:bCs/>
          <w:i/>
          <w:iCs/>
          <w:sz w:val="22"/>
          <w:szCs w:val="22"/>
        </w:rPr>
        <w:t xml:space="preserve">Акционерное общество </w:t>
      </w:r>
      <w:r w:rsidR="00BB2B69" w:rsidRPr="00BB2B69">
        <w:rPr>
          <w:rFonts w:cs="Times New Roman"/>
          <w:b/>
          <w:bCs/>
          <w:i/>
          <w:iCs/>
          <w:sz w:val="22"/>
          <w:szCs w:val="22"/>
        </w:rPr>
        <w:t>«</w:t>
      </w:r>
      <w:r w:rsidR="00BB11E4" w:rsidRPr="00BB2B69">
        <w:rPr>
          <w:rFonts w:cs="Times New Roman"/>
          <w:b/>
          <w:i/>
          <w:sz w:val="22"/>
          <w:szCs w:val="22"/>
        </w:rPr>
        <w:t xml:space="preserve">Технологии Доверия </w:t>
      </w:r>
      <w:r w:rsidR="00BB2B69" w:rsidRPr="00BB2B69">
        <w:rPr>
          <w:rFonts w:cs="Times New Roman"/>
          <w:b/>
          <w:i/>
          <w:sz w:val="22"/>
          <w:szCs w:val="22"/>
        </w:rPr>
        <w:t>–</w:t>
      </w:r>
      <w:r w:rsidR="00BB11E4" w:rsidRPr="00BB2B69">
        <w:rPr>
          <w:rFonts w:cs="Times New Roman"/>
          <w:b/>
          <w:i/>
          <w:sz w:val="22"/>
          <w:szCs w:val="22"/>
        </w:rPr>
        <w:t xml:space="preserve"> Аудит</w:t>
      </w:r>
      <w:r w:rsidR="00BB2B69" w:rsidRPr="00BB2B69">
        <w:rPr>
          <w:rFonts w:cs="Times New Roman"/>
          <w:b/>
          <w:i/>
          <w:sz w:val="22"/>
          <w:szCs w:val="22"/>
        </w:rPr>
        <w:t>»</w:t>
      </w:r>
    </w:p>
    <w:p w14:paraId="046C44B5" w14:textId="48649608" w:rsidR="00451C78" w:rsidRPr="00BB2B69" w:rsidRDefault="00451C78" w:rsidP="00973DD0">
      <w:pPr>
        <w:jc w:val="both"/>
        <w:rPr>
          <w:rFonts w:eastAsia="Calibri" w:cs="Times New Roman"/>
          <w:b/>
          <w:sz w:val="22"/>
          <w:szCs w:val="22"/>
        </w:rPr>
      </w:pPr>
      <w:r w:rsidRPr="00BB2B69">
        <w:rPr>
          <w:rFonts w:eastAsia="Calibri" w:cs="Times New Roman"/>
          <w:sz w:val="22"/>
          <w:szCs w:val="22"/>
        </w:rPr>
        <w:t xml:space="preserve">Сокращенное фирменное наименование: </w:t>
      </w:r>
      <w:r w:rsidR="00BB11E4" w:rsidRPr="00BB2B69">
        <w:rPr>
          <w:rFonts w:cs="Times New Roman"/>
          <w:b/>
          <w:bCs/>
          <w:i/>
          <w:iCs/>
          <w:sz w:val="22"/>
          <w:szCs w:val="22"/>
        </w:rPr>
        <w:t xml:space="preserve">АО «Технологии Доверия </w:t>
      </w:r>
      <w:r w:rsidR="00BB2B69" w:rsidRPr="00BB2B69">
        <w:rPr>
          <w:rFonts w:cs="Times New Roman"/>
          <w:b/>
          <w:i/>
          <w:sz w:val="22"/>
          <w:szCs w:val="22"/>
        </w:rPr>
        <w:t xml:space="preserve">– </w:t>
      </w:r>
      <w:r w:rsidR="00BB11E4" w:rsidRPr="00BB2B69">
        <w:rPr>
          <w:rFonts w:cs="Times New Roman"/>
          <w:b/>
          <w:bCs/>
          <w:i/>
          <w:iCs/>
          <w:sz w:val="22"/>
          <w:szCs w:val="22"/>
        </w:rPr>
        <w:t>Аудит</w:t>
      </w:r>
      <w:r w:rsidR="00BB11E4" w:rsidRPr="00BB2B69">
        <w:rPr>
          <w:rFonts w:eastAsia="Times New Roman" w:cs="Times New Roman"/>
          <w:b/>
          <w:bCs/>
          <w:i/>
          <w:iCs/>
          <w:sz w:val="22"/>
          <w:szCs w:val="22"/>
        </w:rPr>
        <w:t>»</w:t>
      </w:r>
    </w:p>
    <w:p w14:paraId="489487AE" w14:textId="7880FC2D" w:rsidR="00451C78" w:rsidRPr="00BB2B69" w:rsidRDefault="00451C78" w:rsidP="00973DD0">
      <w:pPr>
        <w:jc w:val="both"/>
        <w:rPr>
          <w:rFonts w:eastAsia="Times New Roman" w:cs="Times New Roman"/>
          <w:b/>
          <w:sz w:val="22"/>
          <w:szCs w:val="22"/>
        </w:rPr>
      </w:pPr>
      <w:r w:rsidRPr="00BB2B69">
        <w:rPr>
          <w:rFonts w:eastAsia="Calibri" w:cs="Times New Roman"/>
          <w:sz w:val="22"/>
          <w:szCs w:val="22"/>
        </w:rPr>
        <w:t xml:space="preserve">Место нахождения: </w:t>
      </w:r>
      <w:r w:rsidR="00BB2B69" w:rsidRPr="00BB2B69">
        <w:rPr>
          <w:rFonts w:eastAsia="Calibri" w:cs="Times New Roman"/>
          <w:b/>
          <w:i/>
          <w:sz w:val="22"/>
          <w:szCs w:val="22"/>
        </w:rPr>
        <w:t xml:space="preserve">117218, г. Москва, </w:t>
      </w:r>
      <w:proofErr w:type="spellStart"/>
      <w:r w:rsidR="00BB2B69" w:rsidRPr="00BB2B69">
        <w:rPr>
          <w:rFonts w:eastAsia="Calibri" w:cs="Times New Roman"/>
          <w:b/>
          <w:i/>
          <w:sz w:val="22"/>
          <w:szCs w:val="22"/>
        </w:rPr>
        <w:t>вн</w:t>
      </w:r>
      <w:proofErr w:type="spellEnd"/>
      <w:r w:rsidR="00BB2B69" w:rsidRPr="00BB2B69">
        <w:rPr>
          <w:rFonts w:eastAsia="Calibri" w:cs="Times New Roman"/>
          <w:b/>
          <w:i/>
          <w:sz w:val="22"/>
          <w:szCs w:val="22"/>
        </w:rPr>
        <w:t>. тер. г. муниципальный округ Академический, ул. Кржижановского, д. 14, к. 3, помещение 5/1</w:t>
      </w:r>
    </w:p>
    <w:p w14:paraId="0525F355" w14:textId="77777777" w:rsidR="00451C78" w:rsidRPr="00BB2B69" w:rsidRDefault="00451C78" w:rsidP="00973DD0">
      <w:pPr>
        <w:jc w:val="both"/>
        <w:rPr>
          <w:rFonts w:eastAsia="Calibri" w:cs="Times New Roman"/>
          <w:b/>
          <w:sz w:val="22"/>
          <w:szCs w:val="22"/>
        </w:rPr>
      </w:pPr>
      <w:r w:rsidRPr="00BB2B69">
        <w:rPr>
          <w:rFonts w:eastAsia="Calibri" w:cs="Times New Roman"/>
          <w:sz w:val="22"/>
          <w:szCs w:val="22"/>
        </w:rPr>
        <w:t xml:space="preserve">ИНН: </w:t>
      </w:r>
      <w:r w:rsidRPr="00BB2B69">
        <w:rPr>
          <w:rFonts w:eastAsia="Calibri" w:cs="Times New Roman"/>
          <w:b/>
          <w:bCs/>
          <w:i/>
          <w:color w:val="000000"/>
          <w:sz w:val="22"/>
          <w:szCs w:val="22"/>
          <w:shd w:val="clear" w:color="auto" w:fill="FFFFFF"/>
        </w:rPr>
        <w:t>7705051102</w:t>
      </w:r>
    </w:p>
    <w:p w14:paraId="1BF4C48B" w14:textId="77777777" w:rsidR="00451C78" w:rsidRPr="00BB2B69" w:rsidRDefault="00451C78" w:rsidP="00973DD0">
      <w:pPr>
        <w:jc w:val="both"/>
        <w:rPr>
          <w:rFonts w:eastAsia="Calibri" w:cs="Times New Roman"/>
          <w:b/>
          <w:sz w:val="22"/>
          <w:szCs w:val="22"/>
        </w:rPr>
      </w:pPr>
      <w:r w:rsidRPr="00BB2B69">
        <w:rPr>
          <w:rFonts w:eastAsia="Calibri" w:cs="Times New Roman"/>
          <w:sz w:val="22"/>
          <w:szCs w:val="22"/>
        </w:rPr>
        <w:t xml:space="preserve">ОГРН: </w:t>
      </w:r>
      <w:r w:rsidRPr="00BB2B69">
        <w:rPr>
          <w:rFonts w:eastAsia="Calibri" w:cs="Times New Roman"/>
          <w:b/>
          <w:bCs/>
          <w:i/>
          <w:color w:val="000000"/>
          <w:sz w:val="22"/>
          <w:szCs w:val="22"/>
          <w:shd w:val="clear" w:color="auto" w:fill="FFFFFF"/>
        </w:rPr>
        <w:t>1027700148431</w:t>
      </w:r>
    </w:p>
    <w:p w14:paraId="1824D8F9" w14:textId="77777777" w:rsidR="00451C78" w:rsidRPr="00BB2B69" w:rsidRDefault="00451C78" w:rsidP="00973DD0">
      <w:pPr>
        <w:jc w:val="both"/>
        <w:rPr>
          <w:rFonts w:eastAsia="Calibri" w:cs="Times New Roman"/>
          <w:b/>
          <w:sz w:val="22"/>
          <w:szCs w:val="22"/>
        </w:rPr>
      </w:pPr>
      <w:r w:rsidRPr="00BB2B69">
        <w:rPr>
          <w:rFonts w:eastAsia="Calibri" w:cs="Times New Roman"/>
          <w:sz w:val="22"/>
          <w:szCs w:val="22"/>
        </w:rPr>
        <w:t xml:space="preserve">Телефон: </w:t>
      </w:r>
      <w:r w:rsidRPr="00BB2B69">
        <w:rPr>
          <w:rFonts w:eastAsia="Calibri" w:cs="Times New Roman"/>
          <w:b/>
          <w:bCs/>
          <w:i/>
          <w:color w:val="000000"/>
          <w:sz w:val="22"/>
          <w:szCs w:val="22"/>
          <w:shd w:val="clear" w:color="auto" w:fill="FFFFFF"/>
        </w:rPr>
        <w:t>+7 495 967 6000</w:t>
      </w:r>
    </w:p>
    <w:p w14:paraId="58A47F14" w14:textId="77777777" w:rsidR="00451C78" w:rsidRPr="00BB2B69" w:rsidRDefault="00451C78" w:rsidP="00973DD0">
      <w:pPr>
        <w:jc w:val="both"/>
        <w:rPr>
          <w:rFonts w:eastAsia="Calibri" w:cs="Times New Roman"/>
          <w:bCs/>
          <w:i/>
          <w:color w:val="000000"/>
          <w:sz w:val="22"/>
          <w:szCs w:val="22"/>
          <w:shd w:val="clear" w:color="auto" w:fill="FFFFFF"/>
        </w:rPr>
      </w:pPr>
      <w:r w:rsidRPr="00BB2B69">
        <w:rPr>
          <w:rFonts w:eastAsia="Calibri" w:cs="Times New Roman"/>
          <w:sz w:val="22"/>
          <w:szCs w:val="22"/>
        </w:rPr>
        <w:t xml:space="preserve">Факс: </w:t>
      </w:r>
      <w:r w:rsidRPr="00BB2B69">
        <w:rPr>
          <w:rFonts w:eastAsia="Calibri" w:cs="Times New Roman"/>
          <w:b/>
          <w:bCs/>
          <w:i/>
          <w:color w:val="000000"/>
          <w:sz w:val="22"/>
          <w:szCs w:val="22"/>
          <w:shd w:val="clear" w:color="auto" w:fill="FFFFFF"/>
        </w:rPr>
        <w:t>+7 495 967 6001</w:t>
      </w:r>
    </w:p>
    <w:p w14:paraId="5AF453FF" w14:textId="065EAEA7" w:rsidR="00973DD0" w:rsidRPr="00BB2B69" w:rsidRDefault="00DE2B04" w:rsidP="00451C78">
      <w:pPr>
        <w:spacing w:after="240"/>
        <w:ind w:right="-2"/>
        <w:jc w:val="both"/>
        <w:rPr>
          <w:rFonts w:eastAsia="Calibri" w:cs="Times New Roman"/>
          <w:sz w:val="22"/>
          <w:szCs w:val="22"/>
        </w:rPr>
      </w:pPr>
      <w:r w:rsidRPr="00DE2B04">
        <w:rPr>
          <w:rFonts w:eastAsia="Calibri" w:cs="Times New Roman"/>
          <w:sz w:val="22"/>
          <w:szCs w:val="22"/>
        </w:rPr>
        <w:t xml:space="preserve">Электронная почта: </w:t>
      </w:r>
      <w:hyperlink r:id="rId9" w:history="1">
        <w:r w:rsidRPr="00B25E00">
          <w:rPr>
            <w:rStyle w:val="af7"/>
            <w:rFonts w:eastAsia="Calibri" w:cs="Times New Roman"/>
            <w:sz w:val="22"/>
            <w:szCs w:val="22"/>
          </w:rPr>
          <w:t>info@tedo.ru</w:t>
        </w:r>
      </w:hyperlink>
      <w:r>
        <w:rPr>
          <w:rFonts w:eastAsia="Calibri" w:cs="Times New Roman"/>
          <w:sz w:val="22"/>
          <w:szCs w:val="22"/>
        </w:rPr>
        <w:t xml:space="preserve"> </w:t>
      </w:r>
    </w:p>
    <w:p w14:paraId="7852F310" w14:textId="77777777" w:rsidR="00E809EE" w:rsidRDefault="00451C78" w:rsidP="00E809EE">
      <w:pPr>
        <w:ind w:right="-2"/>
        <w:jc w:val="both"/>
        <w:rPr>
          <w:rFonts w:eastAsia="Calibri" w:cs="Times New Roman"/>
          <w:sz w:val="22"/>
          <w:szCs w:val="22"/>
        </w:rPr>
      </w:pPr>
      <w:r w:rsidRPr="00BB2B69">
        <w:rPr>
          <w:rFonts w:eastAsia="Calibri" w:cs="Times New Roman"/>
          <w:sz w:val="22"/>
          <w:szCs w:val="22"/>
        </w:rPr>
        <w:t>Полное наименование и место нахождения саморегулируемой организации аудиторов, членом которой является (являлся) аудитор</w:t>
      </w:r>
      <w:r w:rsidRPr="00C7716B">
        <w:rPr>
          <w:rFonts w:eastAsia="Calibri" w:cs="Times New Roman"/>
          <w:sz w:val="22"/>
          <w:szCs w:val="22"/>
        </w:rPr>
        <w:t xml:space="preserve"> (аудиторская организация):</w:t>
      </w:r>
    </w:p>
    <w:p w14:paraId="3EABC438" w14:textId="74478F57" w:rsidR="002512D5" w:rsidRPr="00E809EE" w:rsidRDefault="00451C78" w:rsidP="00E809EE">
      <w:pPr>
        <w:ind w:right="-2"/>
        <w:jc w:val="both"/>
        <w:rPr>
          <w:rFonts w:eastAsia="Calibri" w:cs="Times New Roman"/>
          <w:sz w:val="22"/>
          <w:szCs w:val="22"/>
        </w:rPr>
      </w:pPr>
      <w:r w:rsidRPr="00C7716B">
        <w:rPr>
          <w:rFonts w:eastAsia="Calibri" w:cs="Times New Roman"/>
          <w:sz w:val="22"/>
          <w:szCs w:val="22"/>
        </w:rPr>
        <w:t>Полное наименование:</w:t>
      </w:r>
      <w:r w:rsidRPr="00C7716B">
        <w:rPr>
          <w:rFonts w:eastAsia="Calibri" w:cs="Times New Roman"/>
          <w:i/>
          <w:sz w:val="22"/>
          <w:szCs w:val="22"/>
        </w:rPr>
        <w:t xml:space="preserve"> </w:t>
      </w:r>
      <w:r w:rsidRPr="00C7716B">
        <w:rPr>
          <w:rFonts w:eastAsia="Calibri" w:cs="Times New Roman"/>
          <w:b/>
          <w:bCs/>
          <w:i/>
          <w:color w:val="000000"/>
          <w:sz w:val="22"/>
          <w:szCs w:val="22"/>
          <w:shd w:val="clear" w:color="auto" w:fill="FFFFFF"/>
        </w:rPr>
        <w:t>Саморегулируемая организация аудиторов «Российский Союз Аудиторов» (Ассоциация)</w:t>
      </w:r>
    </w:p>
    <w:p w14:paraId="5F5F5A32" w14:textId="587FECC9" w:rsidR="002512D5" w:rsidRPr="002512D5" w:rsidRDefault="002512D5" w:rsidP="00E809EE">
      <w:pPr>
        <w:pStyle w:val="a7"/>
        <w:rPr>
          <w:rFonts w:eastAsia="Calibri" w:cs="Times New Roman"/>
          <w:sz w:val="22"/>
          <w:szCs w:val="22"/>
        </w:rPr>
      </w:pPr>
      <w:r w:rsidRPr="002512D5">
        <w:rPr>
          <w:rFonts w:eastAsia="Calibri" w:cs="Times New Roman"/>
          <w:sz w:val="22"/>
          <w:szCs w:val="22"/>
        </w:rPr>
        <w:t>17 февраля 2020 г. сведения о саморегулируемой организации исключены из государственного реестра саморегулируемых организаций аудиторов.</w:t>
      </w:r>
    </w:p>
    <w:p w14:paraId="1857ADF0" w14:textId="3A43DD77" w:rsidR="00451C78" w:rsidRDefault="00364F67" w:rsidP="00E809EE">
      <w:pPr>
        <w:pStyle w:val="a7"/>
        <w:rPr>
          <w:rFonts w:eastAsia="Calibri" w:cs="Times New Roman"/>
          <w:sz w:val="22"/>
          <w:szCs w:val="22"/>
        </w:rPr>
      </w:pPr>
      <w:hyperlink r:id="rId10" w:history="1">
        <w:r w:rsidR="002512D5" w:rsidRPr="002512D5">
          <w:rPr>
            <w:rFonts w:eastAsia="Calibri" w:cs="Times New Roman"/>
            <w:sz w:val="22"/>
            <w:szCs w:val="22"/>
          </w:rPr>
          <w:t>https://sroaas.ru/pc/novosti/info_isklyuchenii_rsa_gosreestr/</w:t>
        </w:r>
      </w:hyperlink>
    </w:p>
    <w:p w14:paraId="5893F0F3" w14:textId="77777777" w:rsidR="002512D5" w:rsidRPr="002512D5" w:rsidRDefault="002512D5" w:rsidP="00E809EE">
      <w:pPr>
        <w:pStyle w:val="a7"/>
        <w:rPr>
          <w:rFonts w:eastAsia="Calibri" w:cs="Times New Roman"/>
          <w:sz w:val="22"/>
          <w:szCs w:val="22"/>
        </w:rPr>
      </w:pPr>
    </w:p>
    <w:p w14:paraId="76B887C8" w14:textId="77777777" w:rsidR="00451C78" w:rsidRPr="00C7716B" w:rsidRDefault="00451C78" w:rsidP="00E809EE">
      <w:pPr>
        <w:ind w:right="-2"/>
        <w:jc w:val="both"/>
        <w:rPr>
          <w:rFonts w:eastAsia="Calibri" w:cs="Times New Roman"/>
          <w:b/>
          <w:sz w:val="22"/>
          <w:szCs w:val="22"/>
        </w:rPr>
      </w:pPr>
      <w:r w:rsidRPr="00C7716B">
        <w:rPr>
          <w:rFonts w:eastAsia="Calibri" w:cs="Times New Roman"/>
          <w:sz w:val="22"/>
          <w:szCs w:val="22"/>
        </w:rPr>
        <w:t xml:space="preserve">Место нахождения: </w:t>
      </w:r>
      <w:r w:rsidRPr="00C7716B">
        <w:rPr>
          <w:rFonts w:eastAsia="Calibri" w:cs="Times New Roman"/>
          <w:b/>
          <w:bCs/>
          <w:i/>
          <w:color w:val="000000"/>
          <w:sz w:val="22"/>
          <w:szCs w:val="22"/>
          <w:shd w:val="clear" w:color="auto" w:fill="FFFFFF"/>
        </w:rPr>
        <w:t>107031, г. Москва, Петровский переулок, д. 8, стр. 2</w:t>
      </w:r>
    </w:p>
    <w:p w14:paraId="203DFB52" w14:textId="77777777" w:rsidR="00451C78" w:rsidRPr="00C7716B" w:rsidRDefault="00451C78" w:rsidP="00E809EE">
      <w:pPr>
        <w:ind w:right="-2"/>
        <w:jc w:val="both"/>
        <w:rPr>
          <w:rFonts w:eastAsia="Calibri" w:cs="Times New Roman"/>
          <w:bCs/>
          <w:i/>
          <w:color w:val="000000"/>
          <w:sz w:val="22"/>
          <w:szCs w:val="22"/>
          <w:shd w:val="clear" w:color="auto" w:fill="FFFFFF"/>
        </w:rPr>
      </w:pPr>
      <w:r w:rsidRPr="00C7716B">
        <w:rPr>
          <w:rFonts w:eastAsia="Calibri" w:cs="Times New Roman"/>
          <w:sz w:val="22"/>
          <w:szCs w:val="22"/>
        </w:rPr>
        <w:t xml:space="preserve">Дополнительная информация: </w:t>
      </w:r>
      <w:r w:rsidRPr="00C7716B">
        <w:rPr>
          <w:rFonts w:eastAsia="Calibri" w:cs="Times New Roman"/>
          <w:b/>
          <w:i/>
          <w:sz w:val="22"/>
          <w:szCs w:val="22"/>
        </w:rPr>
        <w:t xml:space="preserve">основной регистрационный номер записи в государственном реестре аудиторов и аудиторских организаций </w:t>
      </w:r>
      <w:r w:rsidRPr="00C7716B">
        <w:rPr>
          <w:rFonts w:eastAsia="Calibri" w:cs="Times New Roman"/>
          <w:b/>
          <w:bCs/>
          <w:i/>
          <w:color w:val="000000"/>
          <w:sz w:val="22"/>
          <w:szCs w:val="22"/>
          <w:shd w:val="clear" w:color="auto" w:fill="FFFFFF"/>
        </w:rPr>
        <w:t>11603050547</w:t>
      </w:r>
    </w:p>
    <w:p w14:paraId="70DAB773" w14:textId="77777777" w:rsidR="00451C78" w:rsidRPr="00C7716B" w:rsidRDefault="00451C78" w:rsidP="00E809EE">
      <w:pPr>
        <w:ind w:right="-2"/>
        <w:jc w:val="both"/>
        <w:rPr>
          <w:rFonts w:eastAsia="Calibri" w:cs="Times New Roman"/>
          <w:b/>
          <w:bCs/>
          <w:i/>
          <w:color w:val="000000"/>
          <w:sz w:val="22"/>
          <w:szCs w:val="22"/>
          <w:shd w:val="clear" w:color="auto" w:fill="FFFFFF"/>
        </w:rPr>
      </w:pPr>
      <w:r w:rsidRPr="00C7716B">
        <w:rPr>
          <w:rFonts w:eastAsia="Calibri" w:cs="Times New Roman"/>
          <w:b/>
          <w:bCs/>
          <w:i/>
          <w:color w:val="000000"/>
          <w:sz w:val="22"/>
          <w:szCs w:val="22"/>
          <w:shd w:val="clear" w:color="auto" w:fill="FFFFFF"/>
        </w:rPr>
        <w:t>Информационно:</w:t>
      </w:r>
    </w:p>
    <w:p w14:paraId="67C0C796" w14:textId="24E561B0" w:rsidR="007E7634" w:rsidRPr="007E7634" w:rsidRDefault="007E7634" w:rsidP="00E809EE">
      <w:pPr>
        <w:ind w:right="-2"/>
        <w:jc w:val="both"/>
        <w:rPr>
          <w:rFonts w:eastAsia="Calibri" w:cs="Times New Roman"/>
          <w:b/>
          <w:bCs/>
          <w:i/>
          <w:color w:val="000000"/>
          <w:sz w:val="22"/>
          <w:szCs w:val="22"/>
          <w:shd w:val="clear" w:color="auto" w:fill="FFFFFF"/>
        </w:rPr>
      </w:pPr>
      <w:r w:rsidRPr="007E7634">
        <w:rPr>
          <w:rFonts w:eastAsia="Calibri" w:cs="Times New Roman"/>
          <w:b/>
          <w:bCs/>
          <w:i/>
          <w:color w:val="000000"/>
          <w:sz w:val="22"/>
          <w:szCs w:val="22"/>
          <w:shd w:val="clear" w:color="auto" w:fill="FFFFFF"/>
        </w:rPr>
        <w:t>Данный аудитор ранее провел:</w:t>
      </w:r>
    </w:p>
    <w:p w14:paraId="69B5B702" w14:textId="3499E252" w:rsidR="007E7634" w:rsidRPr="007E7634" w:rsidRDefault="007E7634" w:rsidP="007E7634">
      <w:pPr>
        <w:pStyle w:val="ac"/>
        <w:numPr>
          <w:ilvl w:val="0"/>
          <w:numId w:val="24"/>
        </w:numPr>
        <w:autoSpaceDE/>
        <w:autoSpaceDN/>
        <w:spacing w:after="200"/>
        <w:ind w:right="-2"/>
        <w:jc w:val="both"/>
        <w:rPr>
          <w:rFonts w:eastAsia="Calibri"/>
          <w:b/>
          <w:i/>
          <w:sz w:val="22"/>
          <w:szCs w:val="22"/>
        </w:rPr>
      </w:pPr>
      <w:r w:rsidRPr="007E7634">
        <w:rPr>
          <w:rFonts w:eastAsia="Calibri" w:cs="Times New Roman"/>
          <w:b/>
          <w:bCs/>
          <w:i/>
          <w:color w:val="000000"/>
          <w:sz w:val="22"/>
          <w:szCs w:val="22"/>
          <w:shd w:val="clear" w:color="auto" w:fill="FFFFFF"/>
        </w:rPr>
        <w:t>независимую аудиторскую проверку</w:t>
      </w:r>
      <w:r w:rsidRPr="007E7634">
        <w:rPr>
          <w:rFonts w:eastAsia="Calibri"/>
          <w:b/>
          <w:bCs/>
          <w:i/>
          <w:color w:val="000000"/>
          <w:sz w:val="22"/>
          <w:szCs w:val="22"/>
          <w:shd w:val="clear" w:color="auto" w:fill="FFFFFF"/>
        </w:rPr>
        <w:t xml:space="preserve"> бухгалтерской отчетности Эмитента, подготовленной в соответствии с </w:t>
      </w:r>
      <w:r w:rsidRPr="007E7634">
        <w:rPr>
          <w:rFonts w:eastAsia="Calibri"/>
          <w:b/>
          <w:i/>
          <w:sz w:val="22"/>
          <w:szCs w:val="22"/>
        </w:rPr>
        <w:t>российскими стандартами бухгалтерской отчетности,</w:t>
      </w:r>
      <w:r w:rsidRPr="007E7634">
        <w:rPr>
          <w:rFonts w:eastAsia="Calibri"/>
          <w:b/>
          <w:bCs/>
          <w:i/>
          <w:color w:val="000000"/>
          <w:sz w:val="22"/>
          <w:szCs w:val="22"/>
          <w:shd w:val="clear" w:color="auto" w:fill="FFFFFF"/>
        </w:rPr>
        <w:t xml:space="preserve"> по состоянию на 31 декабря 2017 г.</w:t>
      </w:r>
      <w:r w:rsidR="004A4156">
        <w:rPr>
          <w:rFonts w:eastAsia="Calibri"/>
          <w:b/>
          <w:bCs/>
          <w:i/>
          <w:color w:val="000000"/>
          <w:sz w:val="22"/>
          <w:szCs w:val="22"/>
          <w:shd w:val="clear" w:color="auto" w:fill="FFFFFF"/>
        </w:rPr>
        <w:t>;</w:t>
      </w:r>
      <w:r w:rsidRPr="007E7634">
        <w:rPr>
          <w:rFonts w:eastAsia="Calibri"/>
          <w:b/>
          <w:bCs/>
          <w:i/>
          <w:color w:val="000000"/>
          <w:sz w:val="22"/>
          <w:szCs w:val="22"/>
          <w:shd w:val="clear" w:color="auto" w:fill="FFFFFF"/>
        </w:rPr>
        <w:t xml:space="preserve"> </w:t>
      </w:r>
    </w:p>
    <w:p w14:paraId="7B3AA8AE" w14:textId="3715751C" w:rsidR="007E7634" w:rsidRPr="007E7634" w:rsidRDefault="007E7634" w:rsidP="007E7634">
      <w:pPr>
        <w:pStyle w:val="ac"/>
        <w:numPr>
          <w:ilvl w:val="0"/>
          <w:numId w:val="24"/>
        </w:numPr>
        <w:autoSpaceDE/>
        <w:autoSpaceDN/>
        <w:spacing w:after="200"/>
        <w:ind w:right="-2"/>
        <w:jc w:val="both"/>
        <w:rPr>
          <w:rFonts w:eastAsia="Calibri"/>
          <w:b/>
          <w:i/>
          <w:sz w:val="22"/>
          <w:szCs w:val="22"/>
        </w:rPr>
      </w:pPr>
      <w:r w:rsidRPr="007E7634">
        <w:rPr>
          <w:rFonts w:eastAsia="Calibri" w:cs="Times New Roman"/>
          <w:b/>
          <w:bCs/>
          <w:i/>
          <w:color w:val="000000"/>
          <w:sz w:val="22"/>
          <w:szCs w:val="22"/>
          <w:shd w:val="clear" w:color="auto" w:fill="FFFFFF"/>
        </w:rPr>
        <w:t>независимую аудиторскую проверку</w:t>
      </w:r>
      <w:r w:rsidRPr="007E7634">
        <w:rPr>
          <w:rFonts w:eastAsia="Calibri"/>
          <w:b/>
          <w:i/>
          <w:sz w:val="22"/>
          <w:szCs w:val="22"/>
        </w:rPr>
        <w:t xml:space="preserve"> консолидированной финансовой отчетности группы «Глобалтрак</w:t>
      </w:r>
      <w:r w:rsidRPr="007E7634">
        <w:rPr>
          <w:rFonts w:eastAsia="Calibri" w:cs="Times New Roman"/>
          <w:b/>
          <w:bCs/>
          <w:i/>
          <w:iCs/>
          <w:sz w:val="22"/>
          <w:szCs w:val="22"/>
        </w:rPr>
        <w:t xml:space="preserve"> Менеджмент</w:t>
      </w:r>
      <w:r w:rsidRPr="007E7634">
        <w:rPr>
          <w:rFonts w:eastAsia="Calibri"/>
          <w:b/>
          <w:i/>
          <w:sz w:val="22"/>
          <w:szCs w:val="22"/>
        </w:rPr>
        <w:t>»</w:t>
      </w:r>
      <w:r w:rsidRPr="007E7634">
        <w:rPr>
          <w:b/>
          <w:i/>
          <w:sz w:val="22"/>
          <w:szCs w:val="22"/>
        </w:rPr>
        <w:t>, составленной в соответствии с Международными стандартами финансовой отчетности, за год, закончившийся 31 декабря 2017</w:t>
      </w:r>
      <w:r w:rsidR="004A4156">
        <w:rPr>
          <w:b/>
          <w:i/>
          <w:sz w:val="22"/>
          <w:szCs w:val="22"/>
        </w:rPr>
        <w:t xml:space="preserve"> </w:t>
      </w:r>
      <w:r w:rsidRPr="007E7634">
        <w:rPr>
          <w:b/>
          <w:i/>
          <w:sz w:val="22"/>
          <w:szCs w:val="22"/>
        </w:rPr>
        <w:t>г.</w:t>
      </w:r>
      <w:r w:rsidR="004A4156">
        <w:rPr>
          <w:b/>
          <w:i/>
          <w:sz w:val="22"/>
          <w:szCs w:val="22"/>
        </w:rPr>
        <w:t>;</w:t>
      </w:r>
      <w:r w:rsidRPr="007E7634">
        <w:rPr>
          <w:rFonts w:eastAsia="Calibri"/>
          <w:b/>
          <w:i/>
          <w:sz w:val="22"/>
          <w:szCs w:val="22"/>
        </w:rPr>
        <w:t xml:space="preserve"> </w:t>
      </w:r>
    </w:p>
    <w:p w14:paraId="14661D11" w14:textId="542412A7" w:rsidR="007E7634" w:rsidRPr="007E7634" w:rsidRDefault="007E7634" w:rsidP="007E7634">
      <w:pPr>
        <w:pStyle w:val="ac"/>
        <w:numPr>
          <w:ilvl w:val="0"/>
          <w:numId w:val="24"/>
        </w:numPr>
        <w:autoSpaceDE/>
        <w:autoSpaceDN/>
        <w:spacing w:after="200"/>
        <w:ind w:right="-2"/>
        <w:jc w:val="both"/>
        <w:rPr>
          <w:rFonts w:eastAsia="Calibri"/>
          <w:b/>
          <w:i/>
          <w:sz w:val="22"/>
          <w:szCs w:val="22"/>
        </w:rPr>
      </w:pPr>
      <w:r w:rsidRPr="007E7634">
        <w:rPr>
          <w:rFonts w:eastAsia="Calibri" w:cs="Times New Roman"/>
          <w:b/>
          <w:bCs/>
          <w:i/>
          <w:color w:val="000000"/>
          <w:sz w:val="22"/>
          <w:szCs w:val="22"/>
          <w:shd w:val="clear" w:color="auto" w:fill="FFFFFF"/>
        </w:rPr>
        <w:t>независимую аудиторскую проверку</w:t>
      </w:r>
      <w:r w:rsidRPr="007E7634">
        <w:rPr>
          <w:rFonts w:eastAsia="Calibri"/>
          <w:b/>
          <w:bCs/>
          <w:i/>
          <w:color w:val="000000"/>
          <w:sz w:val="22"/>
          <w:szCs w:val="22"/>
          <w:shd w:val="clear" w:color="auto" w:fill="FFFFFF"/>
        </w:rPr>
        <w:t xml:space="preserve"> бухгалтерской отчетности Эмитента, подготовленной в соответствии с </w:t>
      </w:r>
      <w:r w:rsidRPr="007E7634">
        <w:rPr>
          <w:rFonts w:eastAsia="Calibri"/>
          <w:b/>
          <w:i/>
          <w:sz w:val="22"/>
          <w:szCs w:val="22"/>
        </w:rPr>
        <w:t>российскими стандартами бухгалтерской отчетности,</w:t>
      </w:r>
      <w:r w:rsidRPr="007E7634">
        <w:rPr>
          <w:rFonts w:eastAsia="Calibri"/>
          <w:b/>
          <w:bCs/>
          <w:i/>
          <w:color w:val="000000"/>
          <w:sz w:val="22"/>
          <w:szCs w:val="22"/>
          <w:shd w:val="clear" w:color="auto" w:fill="FFFFFF"/>
        </w:rPr>
        <w:t xml:space="preserve"> по состоянию на 31 декабря 2018 г.</w:t>
      </w:r>
      <w:r w:rsidR="004A4156">
        <w:rPr>
          <w:rFonts w:eastAsia="Calibri"/>
          <w:b/>
          <w:bCs/>
          <w:i/>
          <w:color w:val="000000"/>
          <w:sz w:val="22"/>
          <w:szCs w:val="22"/>
          <w:shd w:val="clear" w:color="auto" w:fill="FFFFFF"/>
        </w:rPr>
        <w:t>;</w:t>
      </w:r>
    </w:p>
    <w:p w14:paraId="2C75C069" w14:textId="05C6103E" w:rsidR="007E7634" w:rsidRPr="007E7634" w:rsidRDefault="007E7634" w:rsidP="007E7634">
      <w:pPr>
        <w:pStyle w:val="ac"/>
        <w:numPr>
          <w:ilvl w:val="0"/>
          <w:numId w:val="24"/>
        </w:numPr>
        <w:autoSpaceDE/>
        <w:autoSpaceDN/>
        <w:spacing w:after="200"/>
        <w:ind w:right="-2"/>
        <w:jc w:val="both"/>
        <w:rPr>
          <w:rFonts w:eastAsia="Calibri"/>
          <w:b/>
          <w:i/>
          <w:sz w:val="22"/>
          <w:szCs w:val="22"/>
        </w:rPr>
      </w:pPr>
      <w:r w:rsidRPr="007E7634">
        <w:rPr>
          <w:rFonts w:eastAsia="Calibri" w:cs="Times New Roman"/>
          <w:b/>
          <w:bCs/>
          <w:i/>
          <w:color w:val="000000"/>
          <w:sz w:val="22"/>
          <w:szCs w:val="22"/>
          <w:shd w:val="clear" w:color="auto" w:fill="FFFFFF"/>
        </w:rPr>
        <w:t>независимую аудиторскую проверку</w:t>
      </w:r>
      <w:r w:rsidRPr="007E7634">
        <w:rPr>
          <w:rFonts w:eastAsia="Calibri"/>
          <w:b/>
          <w:i/>
          <w:sz w:val="22"/>
          <w:szCs w:val="22"/>
        </w:rPr>
        <w:t xml:space="preserve"> консолидированной финансовой отчетности группы «Глобалтрак</w:t>
      </w:r>
      <w:r w:rsidRPr="007E7634">
        <w:rPr>
          <w:rFonts w:eastAsia="Calibri" w:cs="Times New Roman"/>
          <w:b/>
          <w:bCs/>
          <w:i/>
          <w:iCs/>
          <w:sz w:val="22"/>
          <w:szCs w:val="22"/>
        </w:rPr>
        <w:t xml:space="preserve"> Менеджмент</w:t>
      </w:r>
      <w:r w:rsidRPr="007E7634">
        <w:rPr>
          <w:rFonts w:eastAsia="Calibri"/>
          <w:b/>
          <w:i/>
          <w:sz w:val="22"/>
          <w:szCs w:val="22"/>
        </w:rPr>
        <w:t>»</w:t>
      </w:r>
      <w:r w:rsidRPr="007E7634">
        <w:rPr>
          <w:b/>
          <w:i/>
          <w:sz w:val="22"/>
          <w:szCs w:val="22"/>
        </w:rPr>
        <w:t>, составленной в соответствии с Международными стандартами финансовой отчетности, за год, закончившийся 31 декабря 2018</w:t>
      </w:r>
      <w:r w:rsidR="004A4156">
        <w:rPr>
          <w:b/>
          <w:i/>
          <w:sz w:val="22"/>
          <w:szCs w:val="22"/>
        </w:rPr>
        <w:t xml:space="preserve"> </w:t>
      </w:r>
      <w:r w:rsidRPr="007E7634">
        <w:rPr>
          <w:b/>
          <w:i/>
          <w:sz w:val="22"/>
          <w:szCs w:val="22"/>
        </w:rPr>
        <w:t>г.</w:t>
      </w:r>
      <w:r w:rsidR="004A4156">
        <w:rPr>
          <w:b/>
          <w:i/>
          <w:sz w:val="22"/>
          <w:szCs w:val="22"/>
        </w:rPr>
        <w:t>;</w:t>
      </w:r>
    </w:p>
    <w:p w14:paraId="3C634E91" w14:textId="30A0D206" w:rsidR="007E7634" w:rsidRPr="007E7634" w:rsidRDefault="007E7634" w:rsidP="007E7634">
      <w:pPr>
        <w:pStyle w:val="ac"/>
        <w:numPr>
          <w:ilvl w:val="0"/>
          <w:numId w:val="24"/>
        </w:numPr>
        <w:autoSpaceDE/>
        <w:autoSpaceDN/>
        <w:spacing w:after="200"/>
        <w:ind w:right="-2"/>
        <w:jc w:val="both"/>
        <w:rPr>
          <w:rFonts w:eastAsia="Calibri"/>
          <w:b/>
          <w:i/>
          <w:sz w:val="22"/>
          <w:szCs w:val="22"/>
        </w:rPr>
      </w:pPr>
      <w:bookmarkStart w:id="1" w:name="_Hlk104779594"/>
      <w:r w:rsidRPr="007E7634">
        <w:rPr>
          <w:rFonts w:eastAsia="Calibri" w:cs="Times New Roman"/>
          <w:b/>
          <w:bCs/>
          <w:i/>
          <w:color w:val="000000"/>
          <w:sz w:val="22"/>
          <w:szCs w:val="22"/>
          <w:shd w:val="clear" w:color="auto" w:fill="FFFFFF"/>
        </w:rPr>
        <w:t>независимую аудиторскую проверку</w:t>
      </w:r>
      <w:r w:rsidRPr="007E7634">
        <w:rPr>
          <w:rFonts w:eastAsia="Calibri"/>
          <w:b/>
          <w:bCs/>
          <w:i/>
          <w:color w:val="000000"/>
          <w:sz w:val="22"/>
          <w:szCs w:val="22"/>
          <w:shd w:val="clear" w:color="auto" w:fill="FFFFFF"/>
        </w:rPr>
        <w:t xml:space="preserve"> бухгалтерской отчетности Эмитента, подготовленной в соответствии с </w:t>
      </w:r>
      <w:r w:rsidRPr="007E7634">
        <w:rPr>
          <w:rFonts w:eastAsia="Calibri"/>
          <w:b/>
          <w:i/>
          <w:sz w:val="22"/>
          <w:szCs w:val="22"/>
        </w:rPr>
        <w:t>российскими стандартами бухгалтерской отчетности,</w:t>
      </w:r>
      <w:r w:rsidRPr="007E7634">
        <w:rPr>
          <w:rFonts w:eastAsia="Calibri"/>
          <w:b/>
          <w:bCs/>
          <w:i/>
          <w:color w:val="000000"/>
          <w:sz w:val="22"/>
          <w:szCs w:val="22"/>
          <w:shd w:val="clear" w:color="auto" w:fill="FFFFFF"/>
        </w:rPr>
        <w:t xml:space="preserve"> по состоянию на 31 декабря 2019 г.</w:t>
      </w:r>
      <w:r w:rsidR="004A4156">
        <w:rPr>
          <w:rFonts w:eastAsia="Calibri"/>
          <w:b/>
          <w:bCs/>
          <w:i/>
          <w:color w:val="000000"/>
          <w:sz w:val="22"/>
          <w:szCs w:val="22"/>
          <w:shd w:val="clear" w:color="auto" w:fill="FFFFFF"/>
        </w:rPr>
        <w:t>;</w:t>
      </w:r>
    </w:p>
    <w:p w14:paraId="48C9E306" w14:textId="608C69DC" w:rsidR="007E7634" w:rsidRPr="007E7634" w:rsidRDefault="007E7634" w:rsidP="007E7634">
      <w:pPr>
        <w:pStyle w:val="ac"/>
        <w:numPr>
          <w:ilvl w:val="0"/>
          <w:numId w:val="24"/>
        </w:numPr>
        <w:autoSpaceDE/>
        <w:autoSpaceDN/>
        <w:spacing w:after="200"/>
        <w:ind w:right="-2"/>
        <w:jc w:val="both"/>
        <w:rPr>
          <w:rFonts w:eastAsia="Calibri"/>
          <w:b/>
          <w:i/>
          <w:sz w:val="22"/>
          <w:szCs w:val="22"/>
        </w:rPr>
      </w:pPr>
      <w:r w:rsidRPr="007E7634">
        <w:rPr>
          <w:rFonts w:eastAsia="Calibri" w:cs="Times New Roman"/>
          <w:b/>
          <w:bCs/>
          <w:i/>
          <w:color w:val="000000"/>
          <w:sz w:val="22"/>
          <w:szCs w:val="22"/>
          <w:shd w:val="clear" w:color="auto" w:fill="FFFFFF"/>
        </w:rPr>
        <w:t>независимую аудиторскую проверку</w:t>
      </w:r>
      <w:r w:rsidRPr="007E7634">
        <w:rPr>
          <w:rFonts w:eastAsia="Calibri"/>
          <w:b/>
          <w:i/>
          <w:sz w:val="22"/>
          <w:szCs w:val="22"/>
        </w:rPr>
        <w:t xml:space="preserve"> консолидированной финансовой отчетности группы «Глобалтрак</w:t>
      </w:r>
      <w:r w:rsidRPr="007E7634">
        <w:rPr>
          <w:rFonts w:eastAsia="Calibri" w:cs="Times New Roman"/>
          <w:b/>
          <w:bCs/>
          <w:i/>
          <w:iCs/>
          <w:sz w:val="22"/>
          <w:szCs w:val="22"/>
        </w:rPr>
        <w:t xml:space="preserve"> Менеджмент</w:t>
      </w:r>
      <w:r w:rsidRPr="007E7634">
        <w:rPr>
          <w:rFonts w:eastAsia="Calibri"/>
          <w:b/>
          <w:i/>
          <w:sz w:val="22"/>
          <w:szCs w:val="22"/>
        </w:rPr>
        <w:t>»</w:t>
      </w:r>
      <w:r w:rsidRPr="007E7634">
        <w:rPr>
          <w:b/>
          <w:i/>
          <w:sz w:val="22"/>
          <w:szCs w:val="22"/>
        </w:rPr>
        <w:t>, составленной в соответствии с Международными стандартами финансовой отчетности, за год, закончившийся 31 декабря 2019</w:t>
      </w:r>
      <w:r w:rsidR="004A4156">
        <w:rPr>
          <w:b/>
          <w:i/>
          <w:sz w:val="22"/>
          <w:szCs w:val="22"/>
        </w:rPr>
        <w:t xml:space="preserve"> </w:t>
      </w:r>
      <w:r w:rsidRPr="007E7634">
        <w:rPr>
          <w:b/>
          <w:i/>
          <w:sz w:val="22"/>
          <w:szCs w:val="22"/>
        </w:rPr>
        <w:t>г.</w:t>
      </w:r>
      <w:r w:rsidR="004A4156">
        <w:rPr>
          <w:b/>
          <w:i/>
          <w:sz w:val="22"/>
          <w:szCs w:val="22"/>
        </w:rPr>
        <w:t>;</w:t>
      </w:r>
    </w:p>
    <w:bookmarkEnd w:id="1"/>
    <w:p w14:paraId="04172890" w14:textId="2CDE8CB5" w:rsidR="007E7634" w:rsidRPr="007E7634" w:rsidRDefault="007E7634" w:rsidP="007E7634">
      <w:pPr>
        <w:pStyle w:val="ac"/>
        <w:numPr>
          <w:ilvl w:val="0"/>
          <w:numId w:val="24"/>
        </w:numPr>
        <w:autoSpaceDE/>
        <w:autoSpaceDN/>
        <w:spacing w:after="200"/>
        <w:ind w:right="-2"/>
        <w:jc w:val="both"/>
        <w:rPr>
          <w:rFonts w:eastAsia="Calibri"/>
          <w:b/>
          <w:i/>
          <w:sz w:val="22"/>
          <w:szCs w:val="22"/>
        </w:rPr>
      </w:pPr>
      <w:r w:rsidRPr="007E7634">
        <w:rPr>
          <w:rFonts w:eastAsia="Calibri" w:cs="Times New Roman"/>
          <w:b/>
          <w:bCs/>
          <w:i/>
          <w:color w:val="000000"/>
          <w:sz w:val="22"/>
          <w:szCs w:val="22"/>
          <w:shd w:val="clear" w:color="auto" w:fill="FFFFFF"/>
        </w:rPr>
        <w:t>независимую аудиторскую проверку</w:t>
      </w:r>
      <w:r w:rsidRPr="007E7634">
        <w:rPr>
          <w:rFonts w:eastAsia="Calibri"/>
          <w:b/>
          <w:bCs/>
          <w:i/>
          <w:color w:val="000000"/>
          <w:sz w:val="22"/>
          <w:szCs w:val="22"/>
          <w:shd w:val="clear" w:color="auto" w:fill="FFFFFF"/>
        </w:rPr>
        <w:t xml:space="preserve"> бухгалтерской отчетности Эмитента, подготовленной в соответствии с </w:t>
      </w:r>
      <w:r w:rsidRPr="007E7634">
        <w:rPr>
          <w:rFonts w:eastAsia="Calibri"/>
          <w:b/>
          <w:i/>
          <w:sz w:val="22"/>
          <w:szCs w:val="22"/>
        </w:rPr>
        <w:t>российскими стандартами бухгалтерской отчетности,</w:t>
      </w:r>
      <w:r w:rsidRPr="007E7634">
        <w:rPr>
          <w:rFonts w:eastAsia="Calibri"/>
          <w:b/>
          <w:bCs/>
          <w:i/>
          <w:color w:val="000000"/>
          <w:sz w:val="22"/>
          <w:szCs w:val="22"/>
          <w:shd w:val="clear" w:color="auto" w:fill="FFFFFF"/>
        </w:rPr>
        <w:t xml:space="preserve"> по состоянию на 31 декабря 2020 г.</w:t>
      </w:r>
      <w:r w:rsidR="004A4156">
        <w:rPr>
          <w:rFonts w:eastAsia="Calibri" w:cs="Times New Roman"/>
          <w:b/>
          <w:bCs/>
          <w:i/>
          <w:color w:val="000000"/>
          <w:sz w:val="22"/>
          <w:szCs w:val="22"/>
          <w:shd w:val="clear" w:color="auto" w:fill="FFFFFF"/>
        </w:rPr>
        <w:t>;</w:t>
      </w:r>
    </w:p>
    <w:p w14:paraId="077BC574" w14:textId="20BADDA1" w:rsidR="007E7634" w:rsidRPr="00311E92" w:rsidRDefault="007E7634" w:rsidP="007E7634">
      <w:pPr>
        <w:pStyle w:val="ac"/>
        <w:numPr>
          <w:ilvl w:val="0"/>
          <w:numId w:val="24"/>
        </w:numPr>
        <w:autoSpaceDE/>
        <w:autoSpaceDN/>
        <w:spacing w:after="200"/>
        <w:ind w:left="709" w:right="-2"/>
        <w:jc w:val="both"/>
        <w:rPr>
          <w:rFonts w:eastAsia="Calibri"/>
          <w:b/>
          <w:i/>
          <w:sz w:val="22"/>
          <w:szCs w:val="22"/>
        </w:rPr>
      </w:pPr>
      <w:r w:rsidRPr="007E7634">
        <w:rPr>
          <w:rFonts w:eastAsia="Calibri" w:cs="Times New Roman"/>
          <w:b/>
          <w:bCs/>
          <w:i/>
          <w:color w:val="000000"/>
          <w:sz w:val="22"/>
          <w:szCs w:val="22"/>
          <w:shd w:val="clear" w:color="auto" w:fill="FFFFFF"/>
        </w:rPr>
        <w:t>независимую аудиторскую проверку</w:t>
      </w:r>
      <w:r w:rsidRPr="007E7634">
        <w:rPr>
          <w:rFonts w:eastAsia="Calibri"/>
          <w:b/>
          <w:i/>
          <w:sz w:val="22"/>
          <w:szCs w:val="22"/>
        </w:rPr>
        <w:t xml:space="preserve"> консолидированной финансовой отчетности группы «Глобалтрак</w:t>
      </w:r>
      <w:r w:rsidRPr="007E7634">
        <w:rPr>
          <w:rFonts w:eastAsia="Calibri" w:cs="Times New Roman"/>
          <w:b/>
          <w:bCs/>
          <w:i/>
          <w:iCs/>
          <w:sz w:val="22"/>
          <w:szCs w:val="22"/>
        </w:rPr>
        <w:t xml:space="preserve"> Менеджмент</w:t>
      </w:r>
      <w:r w:rsidRPr="007E7634">
        <w:rPr>
          <w:rFonts w:eastAsia="Calibri"/>
          <w:b/>
          <w:i/>
          <w:sz w:val="22"/>
          <w:szCs w:val="22"/>
        </w:rPr>
        <w:t>»</w:t>
      </w:r>
      <w:r w:rsidRPr="007E7634">
        <w:rPr>
          <w:b/>
          <w:i/>
          <w:sz w:val="22"/>
          <w:szCs w:val="22"/>
        </w:rPr>
        <w:t>, составленной в соответствии с Международными стандартами финансовой отчетности, за год, закончившийся 31 декабря 2020</w:t>
      </w:r>
      <w:r w:rsidR="004A4156">
        <w:rPr>
          <w:b/>
          <w:i/>
          <w:sz w:val="22"/>
          <w:szCs w:val="22"/>
        </w:rPr>
        <w:t xml:space="preserve"> </w:t>
      </w:r>
      <w:r w:rsidRPr="007E7634">
        <w:rPr>
          <w:b/>
          <w:i/>
          <w:sz w:val="22"/>
          <w:szCs w:val="22"/>
        </w:rPr>
        <w:t>г.</w:t>
      </w:r>
      <w:r w:rsidR="004A4156">
        <w:rPr>
          <w:b/>
          <w:i/>
          <w:sz w:val="22"/>
          <w:szCs w:val="22"/>
        </w:rPr>
        <w:t>;</w:t>
      </w:r>
    </w:p>
    <w:p w14:paraId="4C373EA2" w14:textId="3BD52236" w:rsidR="00311E92" w:rsidRPr="007E7634" w:rsidRDefault="00311E92" w:rsidP="00311E92">
      <w:pPr>
        <w:pStyle w:val="ac"/>
        <w:numPr>
          <w:ilvl w:val="0"/>
          <w:numId w:val="24"/>
        </w:numPr>
        <w:autoSpaceDE/>
        <w:autoSpaceDN/>
        <w:spacing w:after="200"/>
        <w:ind w:right="-2"/>
        <w:jc w:val="both"/>
        <w:rPr>
          <w:rFonts w:eastAsia="Calibri"/>
          <w:b/>
          <w:i/>
          <w:sz w:val="22"/>
          <w:szCs w:val="22"/>
        </w:rPr>
      </w:pPr>
      <w:r w:rsidRPr="007E7634">
        <w:rPr>
          <w:rFonts w:eastAsia="Calibri" w:cs="Times New Roman"/>
          <w:b/>
          <w:bCs/>
          <w:i/>
          <w:color w:val="000000"/>
          <w:sz w:val="22"/>
          <w:szCs w:val="22"/>
          <w:shd w:val="clear" w:color="auto" w:fill="FFFFFF"/>
        </w:rPr>
        <w:lastRenderedPageBreak/>
        <w:t>независимую аудиторскую проверку</w:t>
      </w:r>
      <w:r w:rsidRPr="007E7634">
        <w:rPr>
          <w:rFonts w:eastAsia="Calibri"/>
          <w:b/>
          <w:bCs/>
          <w:i/>
          <w:color w:val="000000"/>
          <w:sz w:val="22"/>
          <w:szCs w:val="22"/>
          <w:shd w:val="clear" w:color="auto" w:fill="FFFFFF"/>
        </w:rPr>
        <w:t xml:space="preserve"> бухгалтерской отчетности Эмитента, подготовленной в соответствии с </w:t>
      </w:r>
      <w:r w:rsidRPr="007E7634">
        <w:rPr>
          <w:rFonts w:eastAsia="Calibri"/>
          <w:b/>
          <w:i/>
          <w:sz w:val="22"/>
          <w:szCs w:val="22"/>
        </w:rPr>
        <w:t>российскими стандартами бухгалтерской отчетности,</w:t>
      </w:r>
      <w:r w:rsidRPr="007E7634">
        <w:rPr>
          <w:rFonts w:eastAsia="Calibri"/>
          <w:b/>
          <w:bCs/>
          <w:i/>
          <w:color w:val="000000"/>
          <w:sz w:val="22"/>
          <w:szCs w:val="22"/>
          <w:shd w:val="clear" w:color="auto" w:fill="FFFFFF"/>
        </w:rPr>
        <w:t xml:space="preserve"> по состоянию на 31 декабря </w:t>
      </w:r>
      <w:r w:rsidRPr="009643E5">
        <w:rPr>
          <w:rFonts w:eastAsia="Calibri"/>
          <w:b/>
          <w:bCs/>
          <w:i/>
          <w:color w:val="000000"/>
          <w:sz w:val="22"/>
          <w:szCs w:val="22"/>
          <w:shd w:val="clear" w:color="auto" w:fill="FFFFFF"/>
        </w:rPr>
        <w:t>2021</w:t>
      </w:r>
      <w:r w:rsidRPr="007E7634">
        <w:rPr>
          <w:rFonts w:eastAsia="Calibri"/>
          <w:b/>
          <w:bCs/>
          <w:i/>
          <w:color w:val="000000"/>
          <w:sz w:val="22"/>
          <w:szCs w:val="22"/>
          <w:shd w:val="clear" w:color="auto" w:fill="FFFFFF"/>
        </w:rPr>
        <w:t xml:space="preserve"> г.</w:t>
      </w:r>
      <w:r w:rsidR="004A4156">
        <w:rPr>
          <w:rFonts w:eastAsia="Calibri"/>
          <w:b/>
          <w:bCs/>
          <w:i/>
          <w:color w:val="000000"/>
          <w:sz w:val="22"/>
          <w:szCs w:val="22"/>
          <w:shd w:val="clear" w:color="auto" w:fill="FFFFFF"/>
        </w:rPr>
        <w:t>;</w:t>
      </w:r>
    </w:p>
    <w:p w14:paraId="7E6AA005" w14:textId="1C4C7FAC" w:rsidR="00311E92" w:rsidRPr="00BB11E4" w:rsidRDefault="00311E92" w:rsidP="00311E92">
      <w:pPr>
        <w:pStyle w:val="ac"/>
        <w:numPr>
          <w:ilvl w:val="0"/>
          <w:numId w:val="24"/>
        </w:numPr>
        <w:autoSpaceDE/>
        <w:autoSpaceDN/>
        <w:spacing w:after="200"/>
        <w:ind w:right="-2"/>
        <w:jc w:val="both"/>
        <w:rPr>
          <w:rFonts w:eastAsia="Calibri"/>
          <w:b/>
          <w:i/>
          <w:sz w:val="22"/>
          <w:szCs w:val="22"/>
        </w:rPr>
      </w:pPr>
      <w:r w:rsidRPr="007E7634">
        <w:rPr>
          <w:rFonts w:eastAsia="Calibri" w:cs="Times New Roman"/>
          <w:b/>
          <w:bCs/>
          <w:i/>
          <w:color w:val="000000"/>
          <w:sz w:val="22"/>
          <w:szCs w:val="22"/>
          <w:shd w:val="clear" w:color="auto" w:fill="FFFFFF"/>
        </w:rPr>
        <w:t>независимую аудиторскую проверку</w:t>
      </w:r>
      <w:r w:rsidRPr="007E7634">
        <w:rPr>
          <w:rFonts w:eastAsia="Calibri"/>
          <w:b/>
          <w:i/>
          <w:sz w:val="22"/>
          <w:szCs w:val="22"/>
        </w:rPr>
        <w:t xml:space="preserve"> консолидированной финансовой отчетности группы «Глобалтрак</w:t>
      </w:r>
      <w:r w:rsidRPr="007E7634">
        <w:rPr>
          <w:rFonts w:eastAsia="Calibri" w:cs="Times New Roman"/>
          <w:b/>
          <w:bCs/>
          <w:i/>
          <w:iCs/>
          <w:sz w:val="22"/>
          <w:szCs w:val="22"/>
        </w:rPr>
        <w:t xml:space="preserve"> Менеджмент</w:t>
      </w:r>
      <w:r w:rsidRPr="007E7634">
        <w:rPr>
          <w:rFonts w:eastAsia="Calibri"/>
          <w:b/>
          <w:i/>
          <w:sz w:val="22"/>
          <w:szCs w:val="22"/>
        </w:rPr>
        <w:t>»</w:t>
      </w:r>
      <w:r w:rsidRPr="007E7634">
        <w:rPr>
          <w:b/>
          <w:i/>
          <w:sz w:val="22"/>
          <w:szCs w:val="22"/>
        </w:rPr>
        <w:t xml:space="preserve">, составленной в соответствии с Международными стандартами финансовой отчетности, за год, закончившийся 31 декабря </w:t>
      </w:r>
      <w:r w:rsidRPr="009643E5">
        <w:rPr>
          <w:b/>
          <w:i/>
          <w:sz w:val="22"/>
          <w:szCs w:val="22"/>
        </w:rPr>
        <w:t>2021</w:t>
      </w:r>
      <w:r w:rsidR="004A4156">
        <w:rPr>
          <w:b/>
          <w:i/>
          <w:sz w:val="22"/>
          <w:szCs w:val="22"/>
        </w:rPr>
        <w:t xml:space="preserve"> г.;</w:t>
      </w:r>
    </w:p>
    <w:p w14:paraId="10D99AAD" w14:textId="1DC5E6A8" w:rsidR="00BB11E4" w:rsidRPr="007E7634" w:rsidRDefault="00BB11E4" w:rsidP="00BB11E4">
      <w:pPr>
        <w:pStyle w:val="ac"/>
        <w:numPr>
          <w:ilvl w:val="0"/>
          <w:numId w:val="24"/>
        </w:numPr>
        <w:autoSpaceDE/>
        <w:autoSpaceDN/>
        <w:spacing w:after="200"/>
        <w:ind w:right="-2"/>
        <w:jc w:val="both"/>
        <w:rPr>
          <w:rFonts w:eastAsia="Calibri"/>
          <w:b/>
          <w:i/>
          <w:sz w:val="22"/>
          <w:szCs w:val="22"/>
        </w:rPr>
      </w:pPr>
      <w:r w:rsidRPr="007E7634">
        <w:rPr>
          <w:rFonts w:eastAsia="Calibri" w:cs="Times New Roman"/>
          <w:b/>
          <w:bCs/>
          <w:i/>
          <w:color w:val="000000"/>
          <w:sz w:val="22"/>
          <w:szCs w:val="22"/>
          <w:shd w:val="clear" w:color="auto" w:fill="FFFFFF"/>
        </w:rPr>
        <w:t>независимую аудиторскую проверку</w:t>
      </w:r>
      <w:r w:rsidRPr="007E7634">
        <w:rPr>
          <w:rFonts w:eastAsia="Calibri"/>
          <w:b/>
          <w:bCs/>
          <w:i/>
          <w:color w:val="000000"/>
          <w:sz w:val="22"/>
          <w:szCs w:val="22"/>
          <w:shd w:val="clear" w:color="auto" w:fill="FFFFFF"/>
        </w:rPr>
        <w:t xml:space="preserve"> бухгалтерской отчетности Эмитента, подготовленной в соответствии с </w:t>
      </w:r>
      <w:r w:rsidRPr="007E7634">
        <w:rPr>
          <w:rFonts w:eastAsia="Calibri"/>
          <w:b/>
          <w:i/>
          <w:sz w:val="22"/>
          <w:szCs w:val="22"/>
        </w:rPr>
        <w:t>российскими стандартами бухгалтерской отчетности,</w:t>
      </w:r>
      <w:r w:rsidRPr="007E7634">
        <w:rPr>
          <w:rFonts w:eastAsia="Calibri"/>
          <w:b/>
          <w:bCs/>
          <w:i/>
          <w:color w:val="000000"/>
          <w:sz w:val="22"/>
          <w:szCs w:val="22"/>
          <w:shd w:val="clear" w:color="auto" w:fill="FFFFFF"/>
        </w:rPr>
        <w:t xml:space="preserve"> по состоянию на 31 декабря </w:t>
      </w:r>
      <w:r>
        <w:rPr>
          <w:rFonts w:eastAsia="Calibri"/>
          <w:b/>
          <w:bCs/>
          <w:i/>
          <w:color w:val="000000"/>
          <w:sz w:val="22"/>
          <w:szCs w:val="22"/>
          <w:shd w:val="clear" w:color="auto" w:fill="FFFFFF"/>
        </w:rPr>
        <w:t>2022</w:t>
      </w:r>
      <w:r w:rsidRPr="007E7634">
        <w:rPr>
          <w:rFonts w:eastAsia="Calibri"/>
          <w:b/>
          <w:bCs/>
          <w:i/>
          <w:color w:val="000000"/>
          <w:sz w:val="22"/>
          <w:szCs w:val="22"/>
          <w:shd w:val="clear" w:color="auto" w:fill="FFFFFF"/>
        </w:rPr>
        <w:t xml:space="preserve"> г.</w:t>
      </w:r>
      <w:r w:rsidR="004A4156">
        <w:rPr>
          <w:rFonts w:eastAsia="Calibri"/>
          <w:b/>
          <w:bCs/>
          <w:i/>
          <w:color w:val="000000"/>
          <w:sz w:val="22"/>
          <w:szCs w:val="22"/>
          <w:shd w:val="clear" w:color="auto" w:fill="FFFFFF"/>
        </w:rPr>
        <w:t>;</w:t>
      </w:r>
    </w:p>
    <w:p w14:paraId="4B1A0B17" w14:textId="6DB883D9" w:rsidR="00BB11E4" w:rsidRPr="005E2789" w:rsidRDefault="00BB11E4" w:rsidP="00311E92">
      <w:pPr>
        <w:pStyle w:val="ac"/>
        <w:numPr>
          <w:ilvl w:val="0"/>
          <w:numId w:val="24"/>
        </w:numPr>
        <w:autoSpaceDE/>
        <w:autoSpaceDN/>
        <w:spacing w:after="200"/>
        <w:ind w:right="-2"/>
        <w:jc w:val="both"/>
        <w:rPr>
          <w:rFonts w:eastAsia="Calibri"/>
          <w:b/>
          <w:i/>
          <w:sz w:val="22"/>
          <w:szCs w:val="22"/>
        </w:rPr>
      </w:pPr>
      <w:r w:rsidRPr="007E7634">
        <w:rPr>
          <w:rFonts w:eastAsia="Calibri" w:cs="Times New Roman"/>
          <w:b/>
          <w:bCs/>
          <w:i/>
          <w:color w:val="000000"/>
          <w:sz w:val="22"/>
          <w:szCs w:val="22"/>
          <w:shd w:val="clear" w:color="auto" w:fill="FFFFFF"/>
        </w:rPr>
        <w:t>независимую аудиторскую проверку</w:t>
      </w:r>
      <w:r w:rsidRPr="007E7634">
        <w:rPr>
          <w:rFonts w:eastAsia="Calibri"/>
          <w:b/>
          <w:i/>
          <w:sz w:val="22"/>
          <w:szCs w:val="22"/>
        </w:rPr>
        <w:t xml:space="preserve"> консолидированной финансовой отчетности группы «Глобалтрак</w:t>
      </w:r>
      <w:r w:rsidRPr="007E7634">
        <w:rPr>
          <w:rFonts w:eastAsia="Calibri" w:cs="Times New Roman"/>
          <w:b/>
          <w:bCs/>
          <w:i/>
          <w:iCs/>
          <w:sz w:val="22"/>
          <w:szCs w:val="22"/>
        </w:rPr>
        <w:t xml:space="preserve"> Менеджмент</w:t>
      </w:r>
      <w:r w:rsidRPr="007E7634">
        <w:rPr>
          <w:rFonts w:eastAsia="Calibri"/>
          <w:b/>
          <w:i/>
          <w:sz w:val="22"/>
          <w:szCs w:val="22"/>
        </w:rPr>
        <w:t>»</w:t>
      </w:r>
      <w:r w:rsidRPr="007E7634">
        <w:rPr>
          <w:b/>
          <w:i/>
          <w:sz w:val="22"/>
          <w:szCs w:val="22"/>
        </w:rPr>
        <w:t xml:space="preserve">, составленной в соответствии с Международными стандартами финансовой отчетности, за год, закончившийся 31 декабря </w:t>
      </w:r>
      <w:r w:rsidRPr="009643E5">
        <w:rPr>
          <w:b/>
          <w:i/>
          <w:sz w:val="22"/>
          <w:szCs w:val="22"/>
        </w:rPr>
        <w:t>202</w:t>
      </w:r>
      <w:r>
        <w:rPr>
          <w:b/>
          <w:i/>
          <w:sz w:val="22"/>
          <w:szCs w:val="22"/>
        </w:rPr>
        <w:t>2</w:t>
      </w:r>
      <w:r w:rsidR="004A4156">
        <w:rPr>
          <w:b/>
          <w:i/>
          <w:sz w:val="22"/>
          <w:szCs w:val="22"/>
        </w:rPr>
        <w:t xml:space="preserve"> г.;</w:t>
      </w:r>
    </w:p>
    <w:p w14:paraId="6FB14463" w14:textId="00A57881" w:rsidR="005E2789" w:rsidRPr="005E2789" w:rsidRDefault="005E2789" w:rsidP="00311E92">
      <w:pPr>
        <w:pStyle w:val="ac"/>
        <w:numPr>
          <w:ilvl w:val="0"/>
          <w:numId w:val="24"/>
        </w:numPr>
        <w:autoSpaceDE/>
        <w:autoSpaceDN/>
        <w:spacing w:after="200"/>
        <w:ind w:right="-2"/>
        <w:jc w:val="both"/>
        <w:rPr>
          <w:rFonts w:eastAsia="Calibri"/>
          <w:b/>
          <w:i/>
          <w:sz w:val="22"/>
          <w:szCs w:val="22"/>
        </w:rPr>
      </w:pPr>
      <w:r w:rsidRPr="007E7634">
        <w:rPr>
          <w:rFonts w:eastAsia="Calibri" w:cs="Times New Roman"/>
          <w:b/>
          <w:bCs/>
          <w:i/>
          <w:color w:val="000000"/>
          <w:sz w:val="22"/>
          <w:szCs w:val="22"/>
          <w:shd w:val="clear" w:color="auto" w:fill="FFFFFF"/>
        </w:rPr>
        <w:t>независимую аудиторскую проверку</w:t>
      </w:r>
      <w:r w:rsidRPr="007E7634">
        <w:rPr>
          <w:rFonts w:eastAsia="Calibri"/>
          <w:b/>
          <w:bCs/>
          <w:i/>
          <w:color w:val="000000"/>
          <w:sz w:val="22"/>
          <w:szCs w:val="22"/>
          <w:shd w:val="clear" w:color="auto" w:fill="FFFFFF"/>
        </w:rPr>
        <w:t xml:space="preserve"> бухгалтерской отчетности Эмитента, подготовленной в соответствии с </w:t>
      </w:r>
      <w:r w:rsidRPr="007E7634">
        <w:rPr>
          <w:rFonts w:eastAsia="Calibri"/>
          <w:b/>
          <w:i/>
          <w:sz w:val="22"/>
          <w:szCs w:val="22"/>
        </w:rPr>
        <w:t>российскими стандартами бухгалтерской отчетности,</w:t>
      </w:r>
      <w:r w:rsidRPr="007E7634">
        <w:rPr>
          <w:rFonts w:eastAsia="Calibri"/>
          <w:b/>
          <w:bCs/>
          <w:i/>
          <w:color w:val="000000"/>
          <w:sz w:val="22"/>
          <w:szCs w:val="22"/>
          <w:shd w:val="clear" w:color="auto" w:fill="FFFFFF"/>
        </w:rPr>
        <w:t xml:space="preserve"> по состоянию на 31 декабря </w:t>
      </w:r>
      <w:r>
        <w:rPr>
          <w:rFonts w:eastAsia="Calibri"/>
          <w:b/>
          <w:bCs/>
          <w:i/>
          <w:color w:val="000000"/>
          <w:sz w:val="22"/>
          <w:szCs w:val="22"/>
          <w:shd w:val="clear" w:color="auto" w:fill="FFFFFF"/>
        </w:rPr>
        <w:t>2023</w:t>
      </w:r>
      <w:r w:rsidRPr="007E7634">
        <w:rPr>
          <w:rFonts w:eastAsia="Calibri"/>
          <w:b/>
          <w:bCs/>
          <w:i/>
          <w:color w:val="000000"/>
          <w:sz w:val="22"/>
          <w:szCs w:val="22"/>
          <w:shd w:val="clear" w:color="auto" w:fill="FFFFFF"/>
        </w:rPr>
        <w:t xml:space="preserve"> г.</w:t>
      </w:r>
      <w:r w:rsidR="004A4156">
        <w:rPr>
          <w:rFonts w:eastAsia="Calibri"/>
          <w:b/>
          <w:bCs/>
          <w:i/>
          <w:color w:val="000000"/>
          <w:sz w:val="22"/>
          <w:szCs w:val="22"/>
          <w:shd w:val="clear" w:color="auto" w:fill="FFFFFF"/>
        </w:rPr>
        <w:t>;</w:t>
      </w:r>
    </w:p>
    <w:p w14:paraId="5C7CA855" w14:textId="3FBA83F7" w:rsidR="005E2789" w:rsidRPr="004A4156" w:rsidRDefault="005E2789" w:rsidP="00311E92">
      <w:pPr>
        <w:pStyle w:val="ac"/>
        <w:numPr>
          <w:ilvl w:val="0"/>
          <w:numId w:val="24"/>
        </w:numPr>
        <w:autoSpaceDE/>
        <w:autoSpaceDN/>
        <w:spacing w:after="200"/>
        <w:ind w:right="-2"/>
        <w:jc w:val="both"/>
        <w:rPr>
          <w:rFonts w:eastAsia="Calibri"/>
          <w:b/>
          <w:i/>
          <w:sz w:val="22"/>
          <w:szCs w:val="22"/>
        </w:rPr>
      </w:pPr>
      <w:r w:rsidRPr="007E7634">
        <w:rPr>
          <w:rFonts w:eastAsia="Calibri" w:cs="Times New Roman"/>
          <w:b/>
          <w:bCs/>
          <w:i/>
          <w:color w:val="000000"/>
          <w:sz w:val="22"/>
          <w:szCs w:val="22"/>
          <w:shd w:val="clear" w:color="auto" w:fill="FFFFFF"/>
        </w:rPr>
        <w:t>независимую аудиторскую проверку</w:t>
      </w:r>
      <w:r w:rsidRPr="007E7634">
        <w:rPr>
          <w:rFonts w:eastAsia="Calibri"/>
          <w:b/>
          <w:i/>
          <w:sz w:val="22"/>
          <w:szCs w:val="22"/>
        </w:rPr>
        <w:t xml:space="preserve"> консолидированной финансовой отчетности группы «Глобалтрак</w:t>
      </w:r>
      <w:r w:rsidRPr="007E7634">
        <w:rPr>
          <w:rFonts w:eastAsia="Calibri" w:cs="Times New Roman"/>
          <w:b/>
          <w:bCs/>
          <w:i/>
          <w:iCs/>
          <w:sz w:val="22"/>
          <w:szCs w:val="22"/>
        </w:rPr>
        <w:t xml:space="preserve"> Менеджмент</w:t>
      </w:r>
      <w:r w:rsidRPr="007E7634">
        <w:rPr>
          <w:rFonts w:eastAsia="Calibri"/>
          <w:b/>
          <w:i/>
          <w:sz w:val="22"/>
          <w:szCs w:val="22"/>
        </w:rPr>
        <w:t>»</w:t>
      </w:r>
      <w:r w:rsidRPr="007E7634">
        <w:rPr>
          <w:b/>
          <w:i/>
          <w:sz w:val="22"/>
          <w:szCs w:val="22"/>
        </w:rPr>
        <w:t xml:space="preserve">, составленной в соответствии с Международными стандартами финансовой отчетности, за год, закончившийся 31 декабря </w:t>
      </w:r>
      <w:r>
        <w:rPr>
          <w:b/>
          <w:i/>
          <w:sz w:val="22"/>
          <w:szCs w:val="22"/>
        </w:rPr>
        <w:t>2023</w:t>
      </w:r>
      <w:r w:rsidR="004A4156">
        <w:rPr>
          <w:b/>
          <w:i/>
          <w:sz w:val="22"/>
          <w:szCs w:val="22"/>
        </w:rPr>
        <w:t xml:space="preserve"> г.;</w:t>
      </w:r>
    </w:p>
    <w:p w14:paraId="149EEAE5" w14:textId="097345C9" w:rsidR="004A4156" w:rsidRPr="005E2789" w:rsidRDefault="004A4156" w:rsidP="004A4156">
      <w:pPr>
        <w:pStyle w:val="ac"/>
        <w:numPr>
          <w:ilvl w:val="0"/>
          <w:numId w:val="24"/>
        </w:numPr>
        <w:autoSpaceDE/>
        <w:autoSpaceDN/>
        <w:spacing w:after="200"/>
        <w:ind w:right="-2"/>
        <w:jc w:val="both"/>
        <w:rPr>
          <w:rFonts w:eastAsia="Calibri"/>
          <w:b/>
          <w:i/>
          <w:sz w:val="22"/>
          <w:szCs w:val="22"/>
        </w:rPr>
      </w:pPr>
      <w:r w:rsidRPr="007E7634">
        <w:rPr>
          <w:rFonts w:eastAsia="Calibri" w:cs="Times New Roman"/>
          <w:b/>
          <w:bCs/>
          <w:i/>
          <w:color w:val="000000"/>
          <w:sz w:val="22"/>
          <w:szCs w:val="22"/>
          <w:shd w:val="clear" w:color="auto" w:fill="FFFFFF"/>
        </w:rPr>
        <w:t>независимую аудиторскую проверку</w:t>
      </w:r>
      <w:r w:rsidRPr="007E7634">
        <w:rPr>
          <w:rFonts w:eastAsia="Calibri"/>
          <w:b/>
          <w:bCs/>
          <w:i/>
          <w:color w:val="000000"/>
          <w:sz w:val="22"/>
          <w:szCs w:val="22"/>
          <w:shd w:val="clear" w:color="auto" w:fill="FFFFFF"/>
        </w:rPr>
        <w:t xml:space="preserve"> бухгалтерской отчетности Эмитента, подготовленной в соответствии с </w:t>
      </w:r>
      <w:r w:rsidRPr="007E7634">
        <w:rPr>
          <w:rFonts w:eastAsia="Calibri"/>
          <w:b/>
          <w:i/>
          <w:sz w:val="22"/>
          <w:szCs w:val="22"/>
        </w:rPr>
        <w:t>российскими стандартами бухгалтерской отчетности,</w:t>
      </w:r>
      <w:r w:rsidRPr="007E7634">
        <w:rPr>
          <w:rFonts w:eastAsia="Calibri"/>
          <w:b/>
          <w:bCs/>
          <w:i/>
          <w:color w:val="000000"/>
          <w:sz w:val="22"/>
          <w:szCs w:val="22"/>
          <w:shd w:val="clear" w:color="auto" w:fill="FFFFFF"/>
        </w:rPr>
        <w:t xml:space="preserve"> по состоянию на 31 декабря </w:t>
      </w:r>
      <w:r>
        <w:rPr>
          <w:rFonts w:eastAsia="Calibri"/>
          <w:b/>
          <w:bCs/>
          <w:i/>
          <w:color w:val="000000"/>
          <w:sz w:val="22"/>
          <w:szCs w:val="22"/>
          <w:shd w:val="clear" w:color="auto" w:fill="FFFFFF"/>
        </w:rPr>
        <w:t>2024</w:t>
      </w:r>
      <w:r w:rsidRPr="007E7634">
        <w:rPr>
          <w:rFonts w:eastAsia="Calibri"/>
          <w:b/>
          <w:bCs/>
          <w:i/>
          <w:color w:val="000000"/>
          <w:sz w:val="22"/>
          <w:szCs w:val="22"/>
          <w:shd w:val="clear" w:color="auto" w:fill="FFFFFF"/>
        </w:rPr>
        <w:t xml:space="preserve"> г.</w:t>
      </w:r>
      <w:r>
        <w:rPr>
          <w:rFonts w:eastAsia="Calibri"/>
          <w:b/>
          <w:bCs/>
          <w:i/>
          <w:color w:val="000000"/>
          <w:sz w:val="22"/>
          <w:szCs w:val="22"/>
          <w:shd w:val="clear" w:color="auto" w:fill="FFFFFF"/>
        </w:rPr>
        <w:t>;</w:t>
      </w:r>
    </w:p>
    <w:p w14:paraId="6E9AF942" w14:textId="53B2218B" w:rsidR="004A4156" w:rsidRPr="00E809EE" w:rsidRDefault="004A4156" w:rsidP="004A4156">
      <w:pPr>
        <w:pStyle w:val="ac"/>
        <w:numPr>
          <w:ilvl w:val="0"/>
          <w:numId w:val="24"/>
        </w:numPr>
        <w:autoSpaceDE/>
        <w:autoSpaceDN/>
        <w:spacing w:after="200"/>
        <w:ind w:right="-2"/>
        <w:jc w:val="both"/>
        <w:rPr>
          <w:rFonts w:eastAsia="Calibri"/>
          <w:b/>
          <w:i/>
          <w:sz w:val="22"/>
          <w:szCs w:val="22"/>
        </w:rPr>
      </w:pPr>
      <w:r w:rsidRPr="007E7634">
        <w:rPr>
          <w:rFonts w:eastAsia="Calibri" w:cs="Times New Roman"/>
          <w:b/>
          <w:bCs/>
          <w:i/>
          <w:color w:val="000000"/>
          <w:sz w:val="22"/>
          <w:szCs w:val="22"/>
          <w:shd w:val="clear" w:color="auto" w:fill="FFFFFF"/>
        </w:rPr>
        <w:t>независимую аудиторскую проверку</w:t>
      </w:r>
      <w:r w:rsidRPr="007E7634">
        <w:rPr>
          <w:rFonts w:eastAsia="Calibri"/>
          <w:b/>
          <w:i/>
          <w:sz w:val="22"/>
          <w:szCs w:val="22"/>
        </w:rPr>
        <w:t xml:space="preserve"> консолидированной финансовой отчетности группы «Глобалтрак</w:t>
      </w:r>
      <w:r w:rsidRPr="007E7634">
        <w:rPr>
          <w:rFonts w:eastAsia="Calibri" w:cs="Times New Roman"/>
          <w:b/>
          <w:bCs/>
          <w:i/>
          <w:iCs/>
          <w:sz w:val="22"/>
          <w:szCs w:val="22"/>
        </w:rPr>
        <w:t xml:space="preserve"> Менеджмент</w:t>
      </w:r>
      <w:r w:rsidRPr="007E7634">
        <w:rPr>
          <w:rFonts w:eastAsia="Calibri"/>
          <w:b/>
          <w:i/>
          <w:sz w:val="22"/>
          <w:szCs w:val="22"/>
        </w:rPr>
        <w:t>»</w:t>
      </w:r>
      <w:r w:rsidRPr="007E7634">
        <w:rPr>
          <w:b/>
          <w:i/>
          <w:sz w:val="22"/>
          <w:szCs w:val="22"/>
        </w:rPr>
        <w:t xml:space="preserve">, составленной в соответствии с Международными стандартами финансовой отчетности, за год, закончившийся 31 декабря </w:t>
      </w:r>
      <w:r>
        <w:rPr>
          <w:b/>
          <w:i/>
          <w:sz w:val="22"/>
          <w:szCs w:val="22"/>
        </w:rPr>
        <w:t>2024 г.;</w:t>
      </w:r>
    </w:p>
    <w:p w14:paraId="24D79208" w14:textId="492E445B" w:rsidR="00E809EE" w:rsidRPr="00E809EE" w:rsidRDefault="00E809EE" w:rsidP="00E809EE">
      <w:pPr>
        <w:pStyle w:val="ac"/>
        <w:numPr>
          <w:ilvl w:val="0"/>
          <w:numId w:val="24"/>
        </w:numPr>
        <w:autoSpaceDE/>
        <w:autoSpaceDN/>
        <w:spacing w:after="200"/>
        <w:ind w:right="-2"/>
        <w:jc w:val="both"/>
        <w:rPr>
          <w:rFonts w:eastAsia="Calibri"/>
          <w:b/>
          <w:i/>
          <w:sz w:val="22"/>
          <w:szCs w:val="22"/>
        </w:rPr>
      </w:pPr>
      <w:r w:rsidRPr="00E809EE">
        <w:rPr>
          <w:rFonts w:eastAsia="Calibri"/>
          <w:b/>
          <w:i/>
          <w:sz w:val="22"/>
          <w:szCs w:val="22"/>
        </w:rPr>
        <w:t>независимую аудиторскую проверку бухгалтерской отчетности Эмитента, подготовленной в соответствии с российскими стандартами бухгалтерской отчетности, по состоянию на 31 декабря 2025 г.;</w:t>
      </w:r>
    </w:p>
    <w:p w14:paraId="51364AA7" w14:textId="77777777" w:rsidR="00311E92" w:rsidRDefault="00311E92" w:rsidP="007E7634">
      <w:pPr>
        <w:pStyle w:val="ac"/>
        <w:spacing w:after="200"/>
        <w:ind w:left="770" w:right="-2"/>
        <w:jc w:val="both"/>
        <w:rPr>
          <w:rFonts w:eastAsia="Calibri"/>
          <w:b/>
          <w:i/>
          <w:sz w:val="22"/>
          <w:szCs w:val="22"/>
        </w:rPr>
      </w:pPr>
    </w:p>
    <w:p w14:paraId="32529BE7" w14:textId="5B89D17B" w:rsidR="007E7634" w:rsidRPr="007E7634" w:rsidRDefault="007E7634" w:rsidP="007E7634">
      <w:pPr>
        <w:pStyle w:val="ac"/>
        <w:spacing w:after="200"/>
        <w:ind w:left="770" w:right="-2"/>
        <w:jc w:val="both"/>
        <w:rPr>
          <w:rFonts w:eastAsia="Calibri"/>
          <w:b/>
          <w:i/>
          <w:sz w:val="22"/>
          <w:szCs w:val="22"/>
        </w:rPr>
      </w:pPr>
      <w:r w:rsidRPr="007E7634">
        <w:rPr>
          <w:rFonts w:eastAsia="Calibri"/>
          <w:b/>
          <w:i/>
          <w:sz w:val="22"/>
          <w:szCs w:val="22"/>
        </w:rPr>
        <w:t>а также:</w:t>
      </w:r>
    </w:p>
    <w:p w14:paraId="2633BF91" w14:textId="70E21EE8" w:rsidR="007E7634" w:rsidRPr="007E7634" w:rsidRDefault="007E7634" w:rsidP="007E7634">
      <w:pPr>
        <w:pStyle w:val="ac"/>
        <w:numPr>
          <w:ilvl w:val="0"/>
          <w:numId w:val="24"/>
        </w:numPr>
        <w:autoSpaceDE/>
        <w:autoSpaceDN/>
        <w:spacing w:after="200"/>
        <w:ind w:right="-2"/>
        <w:jc w:val="both"/>
        <w:rPr>
          <w:rFonts w:eastAsia="Calibri"/>
          <w:b/>
          <w:i/>
          <w:sz w:val="22"/>
          <w:szCs w:val="22"/>
        </w:rPr>
      </w:pPr>
      <w:r w:rsidRPr="007E7634">
        <w:rPr>
          <w:rFonts w:eastAsia="Calibri"/>
          <w:b/>
          <w:i/>
          <w:sz w:val="22"/>
          <w:szCs w:val="22"/>
        </w:rPr>
        <w:t xml:space="preserve"> обзорную проверку сокращенной консолидированной промежуточной финансовой отчетности, подготовленной в соответствии с </w:t>
      </w:r>
      <w:r w:rsidRPr="007E7634">
        <w:rPr>
          <w:b/>
          <w:i/>
          <w:sz w:val="22"/>
          <w:szCs w:val="22"/>
        </w:rPr>
        <w:t>Международными стандартами финансовой отчетности, за шесть месяцев, закончившихся 30 июня 2018 года</w:t>
      </w:r>
      <w:r w:rsidR="00E96D46">
        <w:rPr>
          <w:b/>
          <w:i/>
          <w:sz w:val="22"/>
          <w:szCs w:val="22"/>
        </w:rPr>
        <w:t>;</w:t>
      </w:r>
    </w:p>
    <w:p w14:paraId="2A48DE91" w14:textId="3B6B47A6" w:rsidR="007E7634" w:rsidRPr="007E7634" w:rsidRDefault="007E7634" w:rsidP="007E7634">
      <w:pPr>
        <w:pStyle w:val="ac"/>
        <w:numPr>
          <w:ilvl w:val="0"/>
          <w:numId w:val="24"/>
        </w:numPr>
        <w:autoSpaceDE/>
        <w:autoSpaceDN/>
        <w:spacing w:after="200"/>
        <w:ind w:right="-2"/>
        <w:jc w:val="both"/>
        <w:rPr>
          <w:rFonts w:eastAsia="Calibri"/>
          <w:b/>
          <w:i/>
          <w:sz w:val="22"/>
          <w:szCs w:val="22"/>
        </w:rPr>
      </w:pPr>
      <w:r w:rsidRPr="007E7634">
        <w:rPr>
          <w:rFonts w:eastAsia="Calibri"/>
          <w:b/>
          <w:i/>
          <w:sz w:val="22"/>
          <w:szCs w:val="22"/>
        </w:rPr>
        <w:t xml:space="preserve">обзорную проверку сокращенной консолидированной промежуточной финансовой отчетности, подготовленной в соответствии с </w:t>
      </w:r>
      <w:r w:rsidRPr="007E7634">
        <w:rPr>
          <w:b/>
          <w:i/>
          <w:sz w:val="22"/>
          <w:szCs w:val="22"/>
        </w:rPr>
        <w:t>Международными стандартами финансовой отчетности, за шесть месяцев, закончившихся 30 июня 2019 года</w:t>
      </w:r>
      <w:r w:rsidR="00E96D46">
        <w:rPr>
          <w:b/>
          <w:i/>
          <w:sz w:val="22"/>
          <w:szCs w:val="22"/>
        </w:rPr>
        <w:t>;</w:t>
      </w:r>
    </w:p>
    <w:p w14:paraId="488F1FB1" w14:textId="14441603" w:rsidR="007E7634" w:rsidRPr="009643E5" w:rsidRDefault="007E7634" w:rsidP="007E7634">
      <w:pPr>
        <w:pStyle w:val="ac"/>
        <w:numPr>
          <w:ilvl w:val="0"/>
          <w:numId w:val="24"/>
        </w:numPr>
        <w:autoSpaceDE/>
        <w:autoSpaceDN/>
        <w:spacing w:after="200"/>
        <w:ind w:right="-2"/>
        <w:jc w:val="both"/>
        <w:rPr>
          <w:rFonts w:eastAsia="Calibri"/>
          <w:b/>
          <w:i/>
          <w:sz w:val="22"/>
          <w:szCs w:val="22"/>
        </w:rPr>
      </w:pPr>
      <w:bookmarkStart w:id="2" w:name="_Hlk104779632"/>
      <w:r w:rsidRPr="007E7634">
        <w:rPr>
          <w:rFonts w:eastAsia="Calibri"/>
          <w:b/>
          <w:i/>
          <w:sz w:val="22"/>
          <w:szCs w:val="22"/>
        </w:rPr>
        <w:t xml:space="preserve">обзорную проверку сокращенной консолидированной промежуточной финансовой отчетности, подготовленной в соответствии с </w:t>
      </w:r>
      <w:r w:rsidRPr="007E7634">
        <w:rPr>
          <w:b/>
          <w:i/>
          <w:sz w:val="22"/>
          <w:szCs w:val="22"/>
        </w:rPr>
        <w:t>Международными стандартами финансовой отчетности, за шесть месяцев, закончившихся 30 июня 2020 года</w:t>
      </w:r>
      <w:bookmarkEnd w:id="2"/>
      <w:r w:rsidR="00E96D46">
        <w:rPr>
          <w:b/>
          <w:i/>
          <w:sz w:val="22"/>
          <w:szCs w:val="22"/>
        </w:rPr>
        <w:t>;</w:t>
      </w:r>
    </w:p>
    <w:p w14:paraId="512B0102" w14:textId="3ED5AF70" w:rsidR="009643E5" w:rsidRPr="00BB11E4" w:rsidRDefault="009643E5" w:rsidP="007E7634">
      <w:pPr>
        <w:pStyle w:val="ac"/>
        <w:numPr>
          <w:ilvl w:val="0"/>
          <w:numId w:val="24"/>
        </w:numPr>
        <w:autoSpaceDE/>
        <w:autoSpaceDN/>
        <w:spacing w:after="200"/>
        <w:ind w:right="-2"/>
        <w:jc w:val="both"/>
        <w:rPr>
          <w:rFonts w:eastAsia="Calibri"/>
          <w:b/>
          <w:i/>
          <w:sz w:val="22"/>
          <w:szCs w:val="22"/>
        </w:rPr>
      </w:pPr>
      <w:r w:rsidRPr="007E7634">
        <w:rPr>
          <w:rFonts w:eastAsia="Calibri"/>
          <w:b/>
          <w:i/>
          <w:sz w:val="22"/>
          <w:szCs w:val="22"/>
        </w:rPr>
        <w:t xml:space="preserve">обзорную проверку сокращенной консолидированной промежуточной финансовой отчетности, подготовленной в соответствии с </w:t>
      </w:r>
      <w:r w:rsidRPr="007E7634">
        <w:rPr>
          <w:b/>
          <w:i/>
          <w:sz w:val="22"/>
          <w:szCs w:val="22"/>
        </w:rPr>
        <w:t xml:space="preserve">Международными стандартами финансовой отчетности, за шесть месяцев, закончившихся 30 июня </w:t>
      </w:r>
      <w:r w:rsidRPr="009643E5">
        <w:rPr>
          <w:b/>
          <w:i/>
          <w:sz w:val="22"/>
          <w:szCs w:val="22"/>
        </w:rPr>
        <w:t>2021</w:t>
      </w:r>
      <w:r w:rsidRPr="007E7634">
        <w:rPr>
          <w:b/>
          <w:i/>
          <w:sz w:val="22"/>
          <w:szCs w:val="22"/>
        </w:rPr>
        <w:t xml:space="preserve"> года</w:t>
      </w:r>
      <w:r w:rsidR="00E96D46">
        <w:rPr>
          <w:b/>
          <w:i/>
          <w:sz w:val="22"/>
          <w:szCs w:val="22"/>
        </w:rPr>
        <w:t>;</w:t>
      </w:r>
    </w:p>
    <w:p w14:paraId="75289E39" w14:textId="43AA9BF3" w:rsidR="00BB11E4" w:rsidRPr="005E2789" w:rsidRDefault="00BB11E4" w:rsidP="00BB11E4">
      <w:pPr>
        <w:pStyle w:val="ac"/>
        <w:numPr>
          <w:ilvl w:val="0"/>
          <w:numId w:val="24"/>
        </w:numPr>
        <w:autoSpaceDE/>
        <w:autoSpaceDN/>
        <w:spacing w:after="200"/>
        <w:ind w:right="-2"/>
        <w:jc w:val="both"/>
        <w:rPr>
          <w:rFonts w:eastAsia="Calibri"/>
          <w:b/>
          <w:i/>
          <w:sz w:val="22"/>
          <w:szCs w:val="22"/>
        </w:rPr>
      </w:pPr>
      <w:r w:rsidRPr="007E7634">
        <w:rPr>
          <w:rFonts w:eastAsia="Calibri"/>
          <w:b/>
          <w:i/>
          <w:sz w:val="22"/>
          <w:szCs w:val="22"/>
        </w:rPr>
        <w:t xml:space="preserve">обзорную проверку сокращенной консолидированной промежуточной финансовой отчетности, подготовленной в соответствии с </w:t>
      </w:r>
      <w:r w:rsidRPr="007E7634">
        <w:rPr>
          <w:b/>
          <w:i/>
          <w:sz w:val="22"/>
          <w:szCs w:val="22"/>
        </w:rPr>
        <w:t xml:space="preserve">Международными стандартами финансовой отчетности, за шесть месяцев, закончившихся 30 июня </w:t>
      </w:r>
      <w:r w:rsidRPr="009643E5">
        <w:rPr>
          <w:b/>
          <w:i/>
          <w:sz w:val="22"/>
          <w:szCs w:val="22"/>
        </w:rPr>
        <w:t>202</w:t>
      </w:r>
      <w:r>
        <w:rPr>
          <w:b/>
          <w:i/>
          <w:sz w:val="22"/>
          <w:szCs w:val="22"/>
        </w:rPr>
        <w:t>2</w:t>
      </w:r>
      <w:r w:rsidRPr="007E7634">
        <w:rPr>
          <w:b/>
          <w:i/>
          <w:sz w:val="22"/>
          <w:szCs w:val="22"/>
        </w:rPr>
        <w:t xml:space="preserve"> года</w:t>
      </w:r>
      <w:r w:rsidR="00E96D46">
        <w:rPr>
          <w:b/>
          <w:i/>
          <w:sz w:val="22"/>
          <w:szCs w:val="22"/>
        </w:rPr>
        <w:t>;</w:t>
      </w:r>
    </w:p>
    <w:p w14:paraId="1F377D03" w14:textId="32292B0B" w:rsidR="005E2789" w:rsidRDefault="005E2789" w:rsidP="00BB11E4">
      <w:pPr>
        <w:pStyle w:val="ac"/>
        <w:numPr>
          <w:ilvl w:val="0"/>
          <w:numId w:val="24"/>
        </w:numPr>
        <w:autoSpaceDE/>
        <w:autoSpaceDN/>
        <w:spacing w:after="200"/>
        <w:ind w:right="-2"/>
        <w:jc w:val="both"/>
        <w:rPr>
          <w:rFonts w:eastAsia="Calibri"/>
          <w:b/>
          <w:i/>
          <w:sz w:val="22"/>
          <w:szCs w:val="22"/>
        </w:rPr>
      </w:pPr>
      <w:r w:rsidRPr="005E2789">
        <w:rPr>
          <w:rFonts w:eastAsia="Calibri"/>
          <w:b/>
          <w:i/>
          <w:sz w:val="22"/>
          <w:szCs w:val="22"/>
        </w:rPr>
        <w:t xml:space="preserve">обзорную проверку сокращенной консолидированной промежуточной финансовой отчетности, подготовленной в соответствии с Международными стандартами финансовой отчетности, за шесть месяцев, закончившихся 30 июня </w:t>
      </w:r>
      <w:r>
        <w:rPr>
          <w:rFonts w:eastAsia="Calibri"/>
          <w:b/>
          <w:i/>
          <w:sz w:val="22"/>
          <w:szCs w:val="22"/>
        </w:rPr>
        <w:t>2023</w:t>
      </w:r>
      <w:r w:rsidRPr="005E2789">
        <w:rPr>
          <w:rFonts w:eastAsia="Calibri"/>
          <w:b/>
          <w:i/>
          <w:sz w:val="22"/>
          <w:szCs w:val="22"/>
        </w:rPr>
        <w:t xml:space="preserve"> года</w:t>
      </w:r>
      <w:r w:rsidR="00E96D46">
        <w:rPr>
          <w:rFonts w:eastAsia="Calibri"/>
          <w:b/>
          <w:i/>
          <w:sz w:val="22"/>
          <w:szCs w:val="22"/>
        </w:rPr>
        <w:t>;</w:t>
      </w:r>
    </w:p>
    <w:p w14:paraId="70651C49" w14:textId="7C172DC7" w:rsidR="00E96D46" w:rsidRPr="00E96D46" w:rsidRDefault="00E96D46" w:rsidP="00E96D46">
      <w:pPr>
        <w:pStyle w:val="ac"/>
        <w:numPr>
          <w:ilvl w:val="0"/>
          <w:numId w:val="24"/>
        </w:numPr>
        <w:autoSpaceDE/>
        <w:autoSpaceDN/>
        <w:spacing w:after="200"/>
        <w:ind w:right="-2"/>
        <w:jc w:val="both"/>
        <w:rPr>
          <w:rFonts w:eastAsia="Calibri"/>
          <w:b/>
          <w:i/>
          <w:sz w:val="22"/>
          <w:szCs w:val="22"/>
        </w:rPr>
      </w:pPr>
      <w:r w:rsidRPr="005E2789">
        <w:rPr>
          <w:rFonts w:eastAsia="Calibri"/>
          <w:b/>
          <w:i/>
          <w:sz w:val="22"/>
          <w:szCs w:val="22"/>
        </w:rPr>
        <w:t xml:space="preserve">обзорную проверку сокращенной консолидированной промежуточной финансовой отчетности, подготовленной в соответствии с Международными стандартами финансовой отчетности, за шесть месяцев, закончившихся 30 июня </w:t>
      </w:r>
      <w:r>
        <w:rPr>
          <w:rFonts w:eastAsia="Calibri"/>
          <w:b/>
          <w:i/>
          <w:sz w:val="22"/>
          <w:szCs w:val="22"/>
        </w:rPr>
        <w:t>2024</w:t>
      </w:r>
      <w:r w:rsidRPr="005E2789">
        <w:rPr>
          <w:rFonts w:eastAsia="Calibri"/>
          <w:b/>
          <w:i/>
          <w:sz w:val="22"/>
          <w:szCs w:val="22"/>
        </w:rPr>
        <w:t xml:space="preserve"> года</w:t>
      </w:r>
      <w:r>
        <w:rPr>
          <w:rFonts w:eastAsia="Calibri"/>
          <w:b/>
          <w:i/>
          <w:sz w:val="22"/>
          <w:szCs w:val="22"/>
        </w:rPr>
        <w:t>.</w:t>
      </w:r>
    </w:p>
    <w:p w14:paraId="374F16B7" w14:textId="5663FA71" w:rsidR="00BB11E4" w:rsidRPr="007E7634" w:rsidRDefault="00E809EE" w:rsidP="00BB11E4">
      <w:pPr>
        <w:pStyle w:val="ac"/>
        <w:autoSpaceDE/>
        <w:autoSpaceDN/>
        <w:spacing w:after="200"/>
        <w:ind w:left="770" w:right="-2"/>
        <w:jc w:val="both"/>
        <w:rPr>
          <w:rFonts w:eastAsia="Calibri"/>
          <w:b/>
          <w:i/>
          <w:sz w:val="22"/>
          <w:szCs w:val="22"/>
        </w:rPr>
      </w:pPr>
      <w:r w:rsidRPr="00E809EE">
        <w:rPr>
          <w:rFonts w:eastAsia="Calibri"/>
          <w:b/>
          <w:i/>
          <w:sz w:val="22"/>
          <w:szCs w:val="22"/>
        </w:rPr>
        <w:t>•</w:t>
      </w:r>
      <w:r w:rsidRPr="00E809EE">
        <w:rPr>
          <w:rFonts w:eastAsia="Calibri"/>
          <w:b/>
          <w:i/>
          <w:sz w:val="22"/>
          <w:szCs w:val="22"/>
        </w:rPr>
        <w:tab/>
        <w:t>обзорную проверку сокращенной консолидированной промежуточной финансовой отчетности, подготовленной в соответствии с Международными стандартами финансовой отчетности, за шесть месяцев, закончившихся 30 июня 2025 года.</w:t>
      </w:r>
    </w:p>
    <w:p w14:paraId="2E538FF8" w14:textId="77777777" w:rsidR="007E7634" w:rsidRPr="00973DD0" w:rsidRDefault="007E7634" w:rsidP="007E7634">
      <w:pPr>
        <w:spacing w:after="200"/>
        <w:ind w:right="-2"/>
        <w:jc w:val="both"/>
        <w:rPr>
          <w:rFonts w:eastAsia="Times New Roman" w:cs="Times New Roman"/>
          <w:b/>
          <w:bCs/>
          <w:color w:val="000000"/>
          <w:sz w:val="22"/>
          <w:szCs w:val="22"/>
          <w:lang w:bidi="ru-RU"/>
        </w:rPr>
      </w:pPr>
    </w:p>
    <w:sectPr w:rsidR="007E7634" w:rsidRPr="00973DD0" w:rsidSect="00BB11E4">
      <w:footerReference w:type="default" r:id="rId11"/>
      <w:pgSz w:w="11906" w:h="16838"/>
      <w:pgMar w:top="993" w:right="566" w:bottom="851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02276" w14:textId="77777777" w:rsidR="008F029B" w:rsidRDefault="008F029B" w:rsidP="00EA144D">
      <w:r>
        <w:separator/>
      </w:r>
    </w:p>
  </w:endnote>
  <w:endnote w:type="continuationSeparator" w:id="0">
    <w:p w14:paraId="636CE0F3" w14:textId="77777777" w:rsidR="008F029B" w:rsidRDefault="008F029B" w:rsidP="00EA144D">
      <w:r>
        <w:continuationSeparator/>
      </w:r>
    </w:p>
  </w:endnote>
  <w:endnote w:type="continuationNotice" w:id="1">
    <w:p w14:paraId="5F91718F" w14:textId="77777777" w:rsidR="008F029B" w:rsidRDefault="008F02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721DA" w14:textId="28AF46CD" w:rsidR="008F029B" w:rsidRDefault="008F029B" w:rsidP="001F26D4">
    <w:pPr>
      <w:pStyle w:val="ae"/>
      <w:ind w:right="-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1A33D" w14:textId="77777777" w:rsidR="008F029B" w:rsidRDefault="008F029B" w:rsidP="00EA144D">
      <w:r>
        <w:separator/>
      </w:r>
    </w:p>
  </w:footnote>
  <w:footnote w:type="continuationSeparator" w:id="0">
    <w:p w14:paraId="03314FB8" w14:textId="77777777" w:rsidR="008F029B" w:rsidRDefault="008F029B" w:rsidP="00EA144D">
      <w:r>
        <w:continuationSeparator/>
      </w:r>
    </w:p>
  </w:footnote>
  <w:footnote w:type="continuationNotice" w:id="1">
    <w:p w14:paraId="4B6264E5" w14:textId="77777777" w:rsidR="008F029B" w:rsidRDefault="008F02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231F"/>
    <w:multiLevelType w:val="hybridMultilevel"/>
    <w:tmpl w:val="9B103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50FC4"/>
    <w:multiLevelType w:val="hybridMultilevel"/>
    <w:tmpl w:val="0D84FD60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DF6513B"/>
    <w:multiLevelType w:val="hybridMultilevel"/>
    <w:tmpl w:val="5C3827C6"/>
    <w:lvl w:ilvl="0" w:tplc="281C21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E64D8"/>
    <w:multiLevelType w:val="hybridMultilevel"/>
    <w:tmpl w:val="464C3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136E4"/>
    <w:multiLevelType w:val="hybridMultilevel"/>
    <w:tmpl w:val="7334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5494F"/>
    <w:multiLevelType w:val="hybridMultilevel"/>
    <w:tmpl w:val="464C3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04AB3"/>
    <w:multiLevelType w:val="hybridMultilevel"/>
    <w:tmpl w:val="9CD88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F7BC7"/>
    <w:multiLevelType w:val="hybridMultilevel"/>
    <w:tmpl w:val="6980DC54"/>
    <w:lvl w:ilvl="0" w:tplc="1C9ABCF2">
      <w:start w:val="1"/>
      <w:numFmt w:val="decimal"/>
      <w:lvlText w:val="%1."/>
      <w:lvlJc w:val="left"/>
      <w:pPr>
        <w:ind w:left="1035" w:hanging="360"/>
      </w:pPr>
      <w:rPr>
        <w:rFonts w:ascii="Times New Roman" w:eastAsia="Arial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 w15:restartNumberingAfterBreak="0">
    <w:nsid w:val="26BE6DD0"/>
    <w:multiLevelType w:val="hybridMultilevel"/>
    <w:tmpl w:val="D026DC58"/>
    <w:lvl w:ilvl="0" w:tplc="19AE6B4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05FCA"/>
    <w:multiLevelType w:val="hybridMultilevel"/>
    <w:tmpl w:val="145ED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D6F24"/>
    <w:multiLevelType w:val="hybridMultilevel"/>
    <w:tmpl w:val="D026DC58"/>
    <w:lvl w:ilvl="0" w:tplc="19AE6B4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F3217"/>
    <w:multiLevelType w:val="hybridMultilevel"/>
    <w:tmpl w:val="A2B44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B0ADC"/>
    <w:multiLevelType w:val="hybridMultilevel"/>
    <w:tmpl w:val="B59E14D0"/>
    <w:lvl w:ilvl="0" w:tplc="A6429DCE">
      <w:start w:val="1"/>
      <w:numFmt w:val="lowerRoman"/>
      <w:lvlText w:val="(%1)"/>
      <w:lvlJc w:val="left"/>
      <w:pPr>
        <w:ind w:left="1069" w:hanging="360"/>
      </w:pPr>
      <w:rPr>
        <w:rFonts w:hint="default"/>
      </w:rPr>
    </w:lvl>
    <w:lvl w:ilvl="1" w:tplc="9852132E" w:tentative="1">
      <w:start w:val="1"/>
      <w:numFmt w:val="lowerLetter"/>
      <w:lvlText w:val="%2."/>
      <w:lvlJc w:val="left"/>
      <w:pPr>
        <w:ind w:left="1429" w:hanging="360"/>
      </w:pPr>
    </w:lvl>
    <w:lvl w:ilvl="2" w:tplc="25B01E18" w:tentative="1">
      <w:start w:val="1"/>
      <w:numFmt w:val="lowerRoman"/>
      <w:lvlText w:val="%3."/>
      <w:lvlJc w:val="right"/>
      <w:pPr>
        <w:ind w:left="2149" w:hanging="180"/>
      </w:pPr>
    </w:lvl>
    <w:lvl w:ilvl="3" w:tplc="EA6A8D4C" w:tentative="1">
      <w:start w:val="1"/>
      <w:numFmt w:val="decimal"/>
      <w:lvlText w:val="%4."/>
      <w:lvlJc w:val="left"/>
      <w:pPr>
        <w:ind w:left="2869" w:hanging="360"/>
      </w:pPr>
    </w:lvl>
    <w:lvl w:ilvl="4" w:tplc="1262AE92" w:tentative="1">
      <w:start w:val="1"/>
      <w:numFmt w:val="lowerLetter"/>
      <w:lvlText w:val="%5."/>
      <w:lvlJc w:val="left"/>
      <w:pPr>
        <w:ind w:left="3589" w:hanging="360"/>
      </w:pPr>
    </w:lvl>
    <w:lvl w:ilvl="5" w:tplc="A0822034" w:tentative="1">
      <w:start w:val="1"/>
      <w:numFmt w:val="lowerRoman"/>
      <w:lvlText w:val="%6."/>
      <w:lvlJc w:val="right"/>
      <w:pPr>
        <w:ind w:left="4309" w:hanging="180"/>
      </w:pPr>
    </w:lvl>
    <w:lvl w:ilvl="6" w:tplc="B39637C4" w:tentative="1">
      <w:start w:val="1"/>
      <w:numFmt w:val="decimal"/>
      <w:lvlText w:val="%7."/>
      <w:lvlJc w:val="left"/>
      <w:pPr>
        <w:ind w:left="5029" w:hanging="360"/>
      </w:pPr>
    </w:lvl>
    <w:lvl w:ilvl="7" w:tplc="E58026C2" w:tentative="1">
      <w:start w:val="1"/>
      <w:numFmt w:val="lowerLetter"/>
      <w:lvlText w:val="%8."/>
      <w:lvlJc w:val="left"/>
      <w:pPr>
        <w:ind w:left="5749" w:hanging="360"/>
      </w:pPr>
    </w:lvl>
    <w:lvl w:ilvl="8" w:tplc="32DA3A00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2C8A73F0"/>
    <w:multiLevelType w:val="multilevel"/>
    <w:tmpl w:val="C6B82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9FB5EC8"/>
    <w:multiLevelType w:val="hybridMultilevel"/>
    <w:tmpl w:val="3EE65756"/>
    <w:lvl w:ilvl="0" w:tplc="520CFC78">
      <w:numFmt w:val="bullet"/>
      <w:lvlText w:val=""/>
      <w:lvlJc w:val="left"/>
      <w:pPr>
        <w:tabs>
          <w:tab w:val="num" w:pos="816"/>
        </w:tabs>
        <w:ind w:left="816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15" w15:restartNumberingAfterBreak="0">
    <w:nsid w:val="4E3C26DF"/>
    <w:multiLevelType w:val="multilevel"/>
    <w:tmpl w:val="EA7088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250DD8"/>
    <w:multiLevelType w:val="hybridMultilevel"/>
    <w:tmpl w:val="D026DC58"/>
    <w:lvl w:ilvl="0" w:tplc="19AE6B4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9605E"/>
    <w:multiLevelType w:val="hybridMultilevel"/>
    <w:tmpl w:val="9B103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C56B2"/>
    <w:multiLevelType w:val="hybridMultilevel"/>
    <w:tmpl w:val="7334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86348"/>
    <w:multiLevelType w:val="multilevel"/>
    <w:tmpl w:val="24C8635A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642079AA"/>
    <w:multiLevelType w:val="hybridMultilevel"/>
    <w:tmpl w:val="D026DC58"/>
    <w:lvl w:ilvl="0" w:tplc="19AE6B4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F2B35"/>
    <w:multiLevelType w:val="hybridMultilevel"/>
    <w:tmpl w:val="86AAA380"/>
    <w:lvl w:ilvl="0" w:tplc="3894EA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35667F"/>
    <w:multiLevelType w:val="hybridMultilevel"/>
    <w:tmpl w:val="9B103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F4FC1"/>
    <w:multiLevelType w:val="hybridMultilevel"/>
    <w:tmpl w:val="B59E14D0"/>
    <w:lvl w:ilvl="0" w:tplc="49523B9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8586DFB4" w:tentative="1">
      <w:start w:val="1"/>
      <w:numFmt w:val="lowerLetter"/>
      <w:lvlText w:val="%2."/>
      <w:lvlJc w:val="left"/>
      <w:pPr>
        <w:ind w:left="1440" w:hanging="360"/>
      </w:pPr>
    </w:lvl>
    <w:lvl w:ilvl="2" w:tplc="AA6EDC80" w:tentative="1">
      <w:start w:val="1"/>
      <w:numFmt w:val="lowerRoman"/>
      <w:lvlText w:val="%3."/>
      <w:lvlJc w:val="right"/>
      <w:pPr>
        <w:ind w:left="2160" w:hanging="180"/>
      </w:pPr>
    </w:lvl>
    <w:lvl w:ilvl="3" w:tplc="CFD012EA" w:tentative="1">
      <w:start w:val="1"/>
      <w:numFmt w:val="decimal"/>
      <w:lvlText w:val="%4."/>
      <w:lvlJc w:val="left"/>
      <w:pPr>
        <w:ind w:left="2880" w:hanging="360"/>
      </w:pPr>
    </w:lvl>
    <w:lvl w:ilvl="4" w:tplc="1F1A7392" w:tentative="1">
      <w:start w:val="1"/>
      <w:numFmt w:val="lowerLetter"/>
      <w:lvlText w:val="%5."/>
      <w:lvlJc w:val="left"/>
      <w:pPr>
        <w:ind w:left="3600" w:hanging="360"/>
      </w:pPr>
    </w:lvl>
    <w:lvl w:ilvl="5" w:tplc="104A233A" w:tentative="1">
      <w:start w:val="1"/>
      <w:numFmt w:val="lowerRoman"/>
      <w:lvlText w:val="%6."/>
      <w:lvlJc w:val="right"/>
      <w:pPr>
        <w:ind w:left="4320" w:hanging="180"/>
      </w:pPr>
    </w:lvl>
    <w:lvl w:ilvl="6" w:tplc="AC3E5AAE" w:tentative="1">
      <w:start w:val="1"/>
      <w:numFmt w:val="decimal"/>
      <w:lvlText w:val="%7."/>
      <w:lvlJc w:val="left"/>
      <w:pPr>
        <w:ind w:left="5040" w:hanging="360"/>
      </w:pPr>
    </w:lvl>
    <w:lvl w:ilvl="7" w:tplc="29AE7FCA" w:tentative="1">
      <w:start w:val="1"/>
      <w:numFmt w:val="lowerLetter"/>
      <w:lvlText w:val="%8."/>
      <w:lvlJc w:val="left"/>
      <w:pPr>
        <w:ind w:left="5760" w:hanging="360"/>
      </w:pPr>
    </w:lvl>
    <w:lvl w:ilvl="8" w:tplc="07CC6D3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10"/>
  </w:num>
  <w:num w:numId="5">
    <w:abstractNumId w:val="20"/>
  </w:num>
  <w:num w:numId="6">
    <w:abstractNumId w:val="16"/>
  </w:num>
  <w:num w:numId="7">
    <w:abstractNumId w:val="8"/>
  </w:num>
  <w:num w:numId="8">
    <w:abstractNumId w:val="3"/>
  </w:num>
  <w:num w:numId="9">
    <w:abstractNumId w:val="5"/>
  </w:num>
  <w:num w:numId="1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</w:num>
  <w:num w:numId="12">
    <w:abstractNumId w:val="15"/>
  </w:num>
  <w:num w:numId="13">
    <w:abstractNumId w:val="17"/>
  </w:num>
  <w:num w:numId="14">
    <w:abstractNumId w:val="22"/>
  </w:num>
  <w:num w:numId="15">
    <w:abstractNumId w:val="0"/>
  </w:num>
  <w:num w:numId="16">
    <w:abstractNumId w:val="11"/>
  </w:num>
  <w:num w:numId="17">
    <w:abstractNumId w:val="23"/>
  </w:num>
  <w:num w:numId="18">
    <w:abstractNumId w:val="12"/>
  </w:num>
  <w:num w:numId="19">
    <w:abstractNumId w:val="2"/>
  </w:num>
  <w:num w:numId="20">
    <w:abstractNumId w:val="21"/>
  </w:num>
  <w:num w:numId="21">
    <w:abstractNumId w:val="18"/>
  </w:num>
  <w:num w:numId="22">
    <w:abstractNumId w:val="4"/>
  </w:num>
  <w:num w:numId="23">
    <w:abstractNumId w:val="6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42"/>
    <w:rsid w:val="00004B77"/>
    <w:rsid w:val="00005D01"/>
    <w:rsid w:val="0001219C"/>
    <w:rsid w:val="00014526"/>
    <w:rsid w:val="000303D4"/>
    <w:rsid w:val="00035795"/>
    <w:rsid w:val="00041908"/>
    <w:rsid w:val="00081016"/>
    <w:rsid w:val="00081B0A"/>
    <w:rsid w:val="000978DE"/>
    <w:rsid w:val="000A1B01"/>
    <w:rsid w:val="000B1235"/>
    <w:rsid w:val="000E0305"/>
    <w:rsid w:val="000E7386"/>
    <w:rsid w:val="000E7B64"/>
    <w:rsid w:val="000F379B"/>
    <w:rsid w:val="000F446D"/>
    <w:rsid w:val="000F5630"/>
    <w:rsid w:val="000F5B77"/>
    <w:rsid w:val="00106F36"/>
    <w:rsid w:val="0010704C"/>
    <w:rsid w:val="00123CDB"/>
    <w:rsid w:val="00141644"/>
    <w:rsid w:val="001832D5"/>
    <w:rsid w:val="001A4156"/>
    <w:rsid w:val="001C1ED7"/>
    <w:rsid w:val="001D0B67"/>
    <w:rsid w:val="001D4461"/>
    <w:rsid w:val="001E4F9E"/>
    <w:rsid w:val="001F26D4"/>
    <w:rsid w:val="001F3458"/>
    <w:rsid w:val="001F6CCB"/>
    <w:rsid w:val="001F7DB2"/>
    <w:rsid w:val="002253E2"/>
    <w:rsid w:val="002254DE"/>
    <w:rsid w:val="002512D5"/>
    <w:rsid w:val="00273580"/>
    <w:rsid w:val="002834E8"/>
    <w:rsid w:val="00292443"/>
    <w:rsid w:val="00295D40"/>
    <w:rsid w:val="002A44A7"/>
    <w:rsid w:val="002C27EA"/>
    <w:rsid w:val="002D5BCB"/>
    <w:rsid w:val="002E4A50"/>
    <w:rsid w:val="00311E92"/>
    <w:rsid w:val="00327320"/>
    <w:rsid w:val="003413F5"/>
    <w:rsid w:val="00341F64"/>
    <w:rsid w:val="003614FB"/>
    <w:rsid w:val="00364F67"/>
    <w:rsid w:val="00377043"/>
    <w:rsid w:val="003874EE"/>
    <w:rsid w:val="00393166"/>
    <w:rsid w:val="003D31D7"/>
    <w:rsid w:val="003D4348"/>
    <w:rsid w:val="00410892"/>
    <w:rsid w:val="00434C3D"/>
    <w:rsid w:val="00443FDB"/>
    <w:rsid w:val="00451C78"/>
    <w:rsid w:val="0045285D"/>
    <w:rsid w:val="00457FB5"/>
    <w:rsid w:val="00463254"/>
    <w:rsid w:val="00476B52"/>
    <w:rsid w:val="00481217"/>
    <w:rsid w:val="0049303C"/>
    <w:rsid w:val="004A4156"/>
    <w:rsid w:val="004D265B"/>
    <w:rsid w:val="004D2C91"/>
    <w:rsid w:val="004F68BE"/>
    <w:rsid w:val="00505A8D"/>
    <w:rsid w:val="0054183E"/>
    <w:rsid w:val="00541D04"/>
    <w:rsid w:val="00552467"/>
    <w:rsid w:val="00557EB2"/>
    <w:rsid w:val="00573A63"/>
    <w:rsid w:val="005A0708"/>
    <w:rsid w:val="005A0B13"/>
    <w:rsid w:val="005C570C"/>
    <w:rsid w:val="005D2867"/>
    <w:rsid w:val="005E2789"/>
    <w:rsid w:val="005F3F10"/>
    <w:rsid w:val="005F53F0"/>
    <w:rsid w:val="00601941"/>
    <w:rsid w:val="00624DD4"/>
    <w:rsid w:val="006256C5"/>
    <w:rsid w:val="00625A86"/>
    <w:rsid w:val="00662CC1"/>
    <w:rsid w:val="00664A36"/>
    <w:rsid w:val="00674CDF"/>
    <w:rsid w:val="00677662"/>
    <w:rsid w:val="00693A93"/>
    <w:rsid w:val="006942ED"/>
    <w:rsid w:val="00697683"/>
    <w:rsid w:val="006B48C3"/>
    <w:rsid w:val="006C55EA"/>
    <w:rsid w:val="006D530B"/>
    <w:rsid w:val="006D5820"/>
    <w:rsid w:val="006F4BEC"/>
    <w:rsid w:val="006F6592"/>
    <w:rsid w:val="00716400"/>
    <w:rsid w:val="00721EF3"/>
    <w:rsid w:val="00730A20"/>
    <w:rsid w:val="00731961"/>
    <w:rsid w:val="00735C4B"/>
    <w:rsid w:val="00747B5E"/>
    <w:rsid w:val="007763BD"/>
    <w:rsid w:val="007A4C8C"/>
    <w:rsid w:val="007B0396"/>
    <w:rsid w:val="007B71EA"/>
    <w:rsid w:val="007C7DF9"/>
    <w:rsid w:val="007D5CDA"/>
    <w:rsid w:val="007E7634"/>
    <w:rsid w:val="007F3813"/>
    <w:rsid w:val="00823C57"/>
    <w:rsid w:val="00824E2E"/>
    <w:rsid w:val="00843A1A"/>
    <w:rsid w:val="0087201F"/>
    <w:rsid w:val="00874138"/>
    <w:rsid w:val="008C51D0"/>
    <w:rsid w:val="008D125D"/>
    <w:rsid w:val="008D5477"/>
    <w:rsid w:val="008F029B"/>
    <w:rsid w:val="008F06E9"/>
    <w:rsid w:val="00906A28"/>
    <w:rsid w:val="009320DA"/>
    <w:rsid w:val="00942670"/>
    <w:rsid w:val="00956EFC"/>
    <w:rsid w:val="00960B33"/>
    <w:rsid w:val="009640DA"/>
    <w:rsid w:val="009643E5"/>
    <w:rsid w:val="00967A74"/>
    <w:rsid w:val="009700FC"/>
    <w:rsid w:val="00973DD0"/>
    <w:rsid w:val="009876A7"/>
    <w:rsid w:val="009904EF"/>
    <w:rsid w:val="00990A09"/>
    <w:rsid w:val="00993D89"/>
    <w:rsid w:val="009B0F09"/>
    <w:rsid w:val="009B4286"/>
    <w:rsid w:val="009B5205"/>
    <w:rsid w:val="009C2DCC"/>
    <w:rsid w:val="009C33C1"/>
    <w:rsid w:val="009C49DF"/>
    <w:rsid w:val="009C7A20"/>
    <w:rsid w:val="009D685A"/>
    <w:rsid w:val="009D779D"/>
    <w:rsid w:val="009E78A0"/>
    <w:rsid w:val="009F2CF6"/>
    <w:rsid w:val="00A23F2E"/>
    <w:rsid w:val="00A327F3"/>
    <w:rsid w:val="00A5699A"/>
    <w:rsid w:val="00A643AB"/>
    <w:rsid w:val="00A72563"/>
    <w:rsid w:val="00A760CE"/>
    <w:rsid w:val="00A800BE"/>
    <w:rsid w:val="00A91EEF"/>
    <w:rsid w:val="00AA0879"/>
    <w:rsid w:val="00AA7AE6"/>
    <w:rsid w:val="00AC54B8"/>
    <w:rsid w:val="00AC6286"/>
    <w:rsid w:val="00B14632"/>
    <w:rsid w:val="00B21E2F"/>
    <w:rsid w:val="00B30E29"/>
    <w:rsid w:val="00B54B65"/>
    <w:rsid w:val="00B667AA"/>
    <w:rsid w:val="00B8170C"/>
    <w:rsid w:val="00B8798C"/>
    <w:rsid w:val="00BA71FB"/>
    <w:rsid w:val="00BA74AA"/>
    <w:rsid w:val="00BB11E4"/>
    <w:rsid w:val="00BB2B69"/>
    <w:rsid w:val="00BD046F"/>
    <w:rsid w:val="00C21EDF"/>
    <w:rsid w:val="00C35916"/>
    <w:rsid w:val="00C47996"/>
    <w:rsid w:val="00C654A3"/>
    <w:rsid w:val="00C659BA"/>
    <w:rsid w:val="00C7716B"/>
    <w:rsid w:val="00CA0D03"/>
    <w:rsid w:val="00CC7C68"/>
    <w:rsid w:val="00CF75E4"/>
    <w:rsid w:val="00D12E3A"/>
    <w:rsid w:val="00D15A9B"/>
    <w:rsid w:val="00D20F41"/>
    <w:rsid w:val="00D30B73"/>
    <w:rsid w:val="00D348CA"/>
    <w:rsid w:val="00D4191A"/>
    <w:rsid w:val="00D62D58"/>
    <w:rsid w:val="00DB1511"/>
    <w:rsid w:val="00DD350F"/>
    <w:rsid w:val="00DE2B04"/>
    <w:rsid w:val="00DE512C"/>
    <w:rsid w:val="00DE5D9A"/>
    <w:rsid w:val="00DF7106"/>
    <w:rsid w:val="00E041EB"/>
    <w:rsid w:val="00E05D0D"/>
    <w:rsid w:val="00E36780"/>
    <w:rsid w:val="00E47B3D"/>
    <w:rsid w:val="00E5091B"/>
    <w:rsid w:val="00E713BD"/>
    <w:rsid w:val="00E809EE"/>
    <w:rsid w:val="00E84F63"/>
    <w:rsid w:val="00E96D46"/>
    <w:rsid w:val="00EA144D"/>
    <w:rsid w:val="00EA6EE3"/>
    <w:rsid w:val="00EB1C7D"/>
    <w:rsid w:val="00ED7C2E"/>
    <w:rsid w:val="00EE7342"/>
    <w:rsid w:val="00F4539B"/>
    <w:rsid w:val="00F5352D"/>
    <w:rsid w:val="00F56ECC"/>
    <w:rsid w:val="00F601E7"/>
    <w:rsid w:val="00F71FE1"/>
    <w:rsid w:val="00FB7D3D"/>
    <w:rsid w:val="00FD18C3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B7843F0"/>
  <w15:docId w15:val="{CF3B5CBE-22B9-4203-98CE-FB16CA3D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F09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99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569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99A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rsid w:val="00993D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1F3458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1F3458"/>
  </w:style>
  <w:style w:type="character" w:customStyle="1" w:styleId="a8">
    <w:name w:val="Текст примечания Знак"/>
    <w:basedOn w:val="a0"/>
    <w:link w:val="a7"/>
    <w:uiPriority w:val="99"/>
    <w:rsid w:val="001F3458"/>
    <w:rPr>
      <w:rFonts w:ascii="Times New Roman" w:hAnsi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F345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F3458"/>
    <w:rPr>
      <w:rFonts w:ascii="Times New Roman" w:hAnsi="Times New Roman"/>
      <w:b/>
      <w:bCs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1F3458"/>
    <w:rPr>
      <w:b/>
      <w:bCs/>
    </w:rPr>
  </w:style>
  <w:style w:type="paragraph" w:customStyle="1" w:styleId="1">
    <w:name w:val="заголовок 1"/>
    <w:basedOn w:val="a"/>
    <w:next w:val="a"/>
    <w:rsid w:val="003D4348"/>
    <w:pPr>
      <w:keepNext/>
      <w:autoSpaceDE/>
      <w:autoSpaceDN/>
      <w:jc w:val="center"/>
    </w:pPr>
    <w:rPr>
      <w:rFonts w:eastAsia="Times New Roman" w:cs="Times New Roman"/>
      <w:b/>
    </w:rPr>
  </w:style>
  <w:style w:type="character" w:customStyle="1" w:styleId="Subst">
    <w:name w:val="Subst"/>
    <w:uiPriority w:val="99"/>
    <w:rsid w:val="003D4348"/>
    <w:rPr>
      <w:b/>
      <w:i/>
    </w:rPr>
  </w:style>
  <w:style w:type="paragraph" w:styleId="ac">
    <w:name w:val="List Paragraph"/>
    <w:aliases w:val="Нумерованый список"/>
    <w:basedOn w:val="a"/>
    <w:link w:val="ad"/>
    <w:uiPriority w:val="34"/>
    <w:qFormat/>
    <w:rsid w:val="004F68BE"/>
    <w:pPr>
      <w:ind w:left="720"/>
      <w:contextualSpacing/>
    </w:pPr>
  </w:style>
  <w:style w:type="paragraph" w:styleId="ae">
    <w:name w:val="footer"/>
    <w:basedOn w:val="a"/>
    <w:link w:val="af"/>
    <w:uiPriority w:val="99"/>
    <w:rsid w:val="006942ED"/>
    <w:pPr>
      <w:tabs>
        <w:tab w:val="center" w:pos="4153"/>
        <w:tab w:val="right" w:pos="8306"/>
      </w:tabs>
      <w:autoSpaceDE/>
      <w:autoSpaceDN/>
    </w:pPr>
    <w:rPr>
      <w:rFonts w:eastAsia="Times New Roman" w:cs="Times New Roman"/>
      <w:lang w:val="x-none"/>
    </w:rPr>
  </w:style>
  <w:style w:type="character" w:customStyle="1" w:styleId="af">
    <w:name w:val="Нижний колонтитул Знак"/>
    <w:basedOn w:val="a0"/>
    <w:link w:val="ae"/>
    <w:uiPriority w:val="99"/>
    <w:rsid w:val="006942E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hl">
    <w:name w:val="hl"/>
    <w:basedOn w:val="a0"/>
    <w:rsid w:val="002253E2"/>
  </w:style>
  <w:style w:type="character" w:customStyle="1" w:styleId="2">
    <w:name w:val="Основной текст (2)"/>
    <w:basedOn w:val="a0"/>
    <w:rsid w:val="00735C4B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f0">
    <w:name w:val="header"/>
    <w:basedOn w:val="a"/>
    <w:link w:val="af1"/>
    <w:uiPriority w:val="99"/>
    <w:unhideWhenUsed/>
    <w:rsid w:val="00EA144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A144D"/>
    <w:rPr>
      <w:rFonts w:ascii="Times New Roman" w:hAnsi="Times New Roman"/>
      <w:sz w:val="20"/>
      <w:szCs w:val="20"/>
      <w:lang w:eastAsia="ru-RU"/>
    </w:rPr>
  </w:style>
  <w:style w:type="character" w:customStyle="1" w:styleId="4">
    <w:name w:val="Основной текст (4) + Не курсив"/>
    <w:basedOn w:val="a0"/>
    <w:rsid w:val="00DE51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1"/>
    <w:rsid w:val="00DE512C"/>
    <w:pPr>
      <w:widowControl w:val="0"/>
      <w:shd w:val="clear" w:color="auto" w:fill="FFFFFF"/>
      <w:autoSpaceDE/>
      <w:autoSpaceDN/>
      <w:spacing w:after="840" w:line="250" w:lineRule="exact"/>
      <w:jc w:val="center"/>
    </w:pPr>
    <w:rPr>
      <w:rFonts w:eastAsia="Times New Roman" w:cs="Times New Roman"/>
      <w:i/>
      <w:iCs/>
      <w:color w:val="000000"/>
      <w:sz w:val="22"/>
      <w:szCs w:val="22"/>
      <w:lang w:bidi="ru-RU"/>
    </w:rPr>
  </w:style>
  <w:style w:type="character" w:customStyle="1" w:styleId="41">
    <w:name w:val="Основной текст (4)_"/>
    <w:basedOn w:val="a0"/>
    <w:link w:val="40"/>
    <w:rsid w:val="00DE512C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ru-RU" w:bidi="ru-RU"/>
    </w:rPr>
  </w:style>
  <w:style w:type="paragraph" w:customStyle="1" w:styleId="5">
    <w:name w:val="Основной текст (5)"/>
    <w:basedOn w:val="a"/>
    <w:link w:val="50"/>
    <w:rsid w:val="00DE512C"/>
    <w:pPr>
      <w:widowControl w:val="0"/>
      <w:shd w:val="clear" w:color="auto" w:fill="FFFFFF"/>
      <w:autoSpaceDE/>
      <w:autoSpaceDN/>
      <w:spacing w:before="840" w:line="250" w:lineRule="exact"/>
      <w:ind w:hanging="700"/>
      <w:jc w:val="center"/>
    </w:pPr>
    <w:rPr>
      <w:rFonts w:eastAsia="Times New Roman" w:cs="Times New Roman"/>
      <w:b/>
      <w:bCs/>
      <w:color w:val="000000"/>
      <w:sz w:val="22"/>
      <w:szCs w:val="22"/>
      <w:lang w:bidi="ru-RU"/>
    </w:rPr>
  </w:style>
  <w:style w:type="character" w:customStyle="1" w:styleId="50">
    <w:name w:val="Основной текст (5)_"/>
    <w:basedOn w:val="a0"/>
    <w:link w:val="5"/>
    <w:rsid w:val="00DE512C"/>
    <w:rPr>
      <w:rFonts w:ascii="Times New Roman" w:eastAsia="Times New Roman" w:hAnsi="Times New Roman" w:cs="Times New Roman"/>
      <w:b/>
      <w:bCs/>
      <w:color w:val="000000"/>
      <w:shd w:val="clear" w:color="auto" w:fill="FFFFFF"/>
      <w:lang w:eastAsia="ru-RU" w:bidi="ru-RU"/>
    </w:rPr>
  </w:style>
  <w:style w:type="table" w:styleId="af2">
    <w:name w:val="Table Grid"/>
    <w:basedOn w:val="a1"/>
    <w:uiPriority w:val="59"/>
    <w:rsid w:val="00DE5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rsid w:val="00DE5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 + Не полужирный"/>
    <w:basedOn w:val="50"/>
    <w:rsid w:val="00DE5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0"/>
    <w:rsid w:val="00DE5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3">
    <w:name w:val="Body Text"/>
    <w:basedOn w:val="a"/>
    <w:link w:val="af4"/>
    <w:rsid w:val="0045285D"/>
    <w:pPr>
      <w:tabs>
        <w:tab w:val="left" w:pos="567"/>
      </w:tabs>
      <w:autoSpaceDE/>
      <w:autoSpaceDN/>
      <w:jc w:val="both"/>
    </w:pPr>
    <w:rPr>
      <w:rFonts w:eastAsia="Times New Roman" w:cs="Times New Roman"/>
      <w:sz w:val="24"/>
    </w:rPr>
  </w:style>
  <w:style w:type="character" w:customStyle="1" w:styleId="af4">
    <w:name w:val="Основной текст Знак"/>
    <w:basedOn w:val="a0"/>
    <w:link w:val="af3"/>
    <w:rsid w:val="004528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Document Map"/>
    <w:basedOn w:val="a"/>
    <w:link w:val="af6"/>
    <w:uiPriority w:val="99"/>
    <w:semiHidden/>
    <w:unhideWhenUsed/>
    <w:rsid w:val="00693A93"/>
    <w:rPr>
      <w:rFonts w:cs="Times New Roman"/>
      <w:sz w:val="24"/>
      <w:szCs w:val="24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693A93"/>
    <w:rPr>
      <w:rFonts w:ascii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451C78"/>
    <w:rPr>
      <w:color w:val="0000FF" w:themeColor="hyperlink"/>
      <w:u w:val="single"/>
    </w:rPr>
  </w:style>
  <w:style w:type="character" w:customStyle="1" w:styleId="ad">
    <w:name w:val="Абзац списка Знак"/>
    <w:aliases w:val="Нумерованый список Знак"/>
    <w:link w:val="ac"/>
    <w:uiPriority w:val="34"/>
    <w:locked/>
    <w:rsid w:val="00451C78"/>
    <w:rPr>
      <w:rFonts w:ascii="Times New Roman" w:hAnsi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E2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sroaas.ru/pc/novosti/info_isklyuchenii_rsa_gosreestr/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ted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5940E-0FE4-4A10-B1D8-92ACBEDB19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F5D6F9-41E5-49ED-9FD6-15E8F4F18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Рыненков Илья</dc:creator>
  <cp:lastModifiedBy>Елизавета Маркунина</cp:lastModifiedBy>
  <cp:revision>3</cp:revision>
  <cp:lastPrinted>2017-09-19T22:13:00Z</cp:lastPrinted>
  <dcterms:created xsi:type="dcterms:W3CDTF">2026-05-19T11:04:00Z</dcterms:created>
  <dcterms:modified xsi:type="dcterms:W3CDTF">2026-05-29T10:07:00Z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1340256540</vt:i4>
  </property>
  <property fmtid="{D5CDD505-2E9C-101B-9397-08002B2CF9AE}" pid="3" name="_NewReviewCycle">
    <vt:lpwstr/>
  </property>
  <property fmtid="{D5CDD505-2E9C-101B-9397-08002B2CF9AE}" pid="4" name="_EmailSubject">
    <vt:lpwstr>ПАО "ГТМ"_Заочное заседание Совета директоров</vt:lpwstr>
  </property>
  <property fmtid="{D5CDD505-2E9C-101B-9397-08002B2CF9AE}" pid="5" name="_AuthorEmail">
    <vt:lpwstr>abramova@tcm-trans.ru</vt:lpwstr>
  </property>
  <property fmtid="{D5CDD505-2E9C-101B-9397-08002B2CF9AE}" pid="6" name="_AuthorEmailDisplayName">
    <vt:lpwstr>Абрамова Юлия</vt:lpwstr>
  </property>
  <property fmtid="{D5CDD505-2E9C-101B-9397-08002B2CF9AE}" pid="7" name="_ReviewingToolsShownOnce">
    <vt:lpwstr/>
  </property>
</Properties>
</file>