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57" w:rsidRDefault="00592D57" w:rsidP="00B94FCE">
      <w:pPr>
        <w:jc w:val="center"/>
        <w:rPr>
          <w:b/>
          <w:bCs/>
          <w:caps/>
        </w:rPr>
      </w:pPr>
    </w:p>
    <w:p w:rsidR="00592D57" w:rsidRDefault="00592D57" w:rsidP="00B94FCE">
      <w:pPr>
        <w:jc w:val="center"/>
        <w:rPr>
          <w:b/>
          <w:bCs/>
          <w:caps/>
        </w:rPr>
      </w:pPr>
    </w:p>
    <w:p w:rsidR="00EF2AE8" w:rsidRDefault="00B94FCE" w:rsidP="00B94FCE">
      <w:pPr>
        <w:jc w:val="center"/>
        <w:rPr>
          <w:b/>
          <w:bCs/>
          <w:caps/>
        </w:rPr>
      </w:pPr>
      <w:r w:rsidRPr="00B94FCE">
        <w:rPr>
          <w:b/>
          <w:bCs/>
          <w:caps/>
        </w:rPr>
        <w:t>Таблица сравнения изменений</w:t>
      </w:r>
      <w:r w:rsidR="00C74B33">
        <w:rPr>
          <w:b/>
          <w:bCs/>
          <w:caps/>
        </w:rPr>
        <w:t>,</w:t>
      </w:r>
      <w:r w:rsidRPr="00B94FCE">
        <w:rPr>
          <w:b/>
          <w:bCs/>
          <w:caps/>
        </w:rPr>
        <w:t xml:space="preserve"> вносимых в УСТАВ</w:t>
      </w:r>
      <w:r>
        <w:rPr>
          <w:b/>
          <w:bCs/>
          <w:caps/>
        </w:rPr>
        <w:t xml:space="preserve"> пао «гтм»</w:t>
      </w:r>
    </w:p>
    <w:tbl>
      <w:tblPr>
        <w:tblStyle w:val="a3"/>
        <w:tblW w:w="14879" w:type="dxa"/>
        <w:tblLook w:val="04A0" w:firstRow="1" w:lastRow="0" w:firstColumn="1" w:lastColumn="0" w:noHBand="0" w:noVBand="1"/>
      </w:tblPr>
      <w:tblGrid>
        <w:gridCol w:w="1696"/>
        <w:gridCol w:w="6521"/>
        <w:gridCol w:w="6662"/>
      </w:tblGrid>
      <w:tr w:rsidR="00B94FCE" w:rsidRPr="00B94FCE" w:rsidTr="004935A5">
        <w:tc>
          <w:tcPr>
            <w:tcW w:w="1696" w:type="dxa"/>
          </w:tcPr>
          <w:p w:rsidR="00B94FCE" w:rsidRPr="00B94FCE" w:rsidRDefault="00B94FCE" w:rsidP="00B94FCE">
            <w:pPr>
              <w:jc w:val="center"/>
              <w:rPr>
                <w:b/>
                <w:bCs/>
              </w:rPr>
            </w:pPr>
            <w:r>
              <w:rPr>
                <w:b/>
                <w:bCs/>
              </w:rPr>
              <w:t>№ пункта</w:t>
            </w:r>
          </w:p>
        </w:tc>
        <w:tc>
          <w:tcPr>
            <w:tcW w:w="6521" w:type="dxa"/>
          </w:tcPr>
          <w:p w:rsidR="00B94FCE" w:rsidRPr="00B94FCE" w:rsidRDefault="00B94FCE" w:rsidP="00B94FCE">
            <w:pPr>
              <w:jc w:val="center"/>
              <w:rPr>
                <w:b/>
                <w:bCs/>
              </w:rPr>
            </w:pPr>
            <w:r>
              <w:rPr>
                <w:b/>
                <w:bCs/>
              </w:rPr>
              <w:t>Действующая редакция</w:t>
            </w:r>
          </w:p>
        </w:tc>
        <w:tc>
          <w:tcPr>
            <w:tcW w:w="6662" w:type="dxa"/>
          </w:tcPr>
          <w:p w:rsidR="00B94FCE" w:rsidRPr="00B94FCE" w:rsidRDefault="00B94FCE" w:rsidP="00B94FCE">
            <w:pPr>
              <w:jc w:val="center"/>
              <w:rPr>
                <w:b/>
                <w:bCs/>
              </w:rPr>
            </w:pPr>
            <w:bookmarkStart w:id="0" w:name="_GoBack"/>
            <w:bookmarkEnd w:id="0"/>
            <w:r>
              <w:rPr>
                <w:b/>
                <w:bCs/>
              </w:rPr>
              <w:t>Новая редакция</w:t>
            </w:r>
          </w:p>
        </w:tc>
      </w:tr>
      <w:tr w:rsidR="00C64185" w:rsidRPr="00B94FCE" w:rsidTr="004935A5">
        <w:tc>
          <w:tcPr>
            <w:tcW w:w="1696" w:type="dxa"/>
          </w:tcPr>
          <w:p w:rsidR="00C64185" w:rsidRDefault="00C64185" w:rsidP="00B94FCE">
            <w:pPr>
              <w:jc w:val="center"/>
              <w:rPr>
                <w:b/>
                <w:bCs/>
              </w:rPr>
            </w:pPr>
            <w:proofErr w:type="spellStart"/>
            <w:r>
              <w:rPr>
                <w:b/>
                <w:bCs/>
              </w:rPr>
              <w:t>Абз</w:t>
            </w:r>
            <w:proofErr w:type="spellEnd"/>
            <w:r>
              <w:rPr>
                <w:b/>
                <w:bCs/>
              </w:rPr>
              <w:t>. 13 п. 6.2</w:t>
            </w:r>
          </w:p>
        </w:tc>
        <w:tc>
          <w:tcPr>
            <w:tcW w:w="6521" w:type="dxa"/>
          </w:tcPr>
          <w:p w:rsidR="00C64185" w:rsidRPr="008968BB" w:rsidRDefault="00C64185" w:rsidP="00C64185">
            <w:pPr>
              <w:widowControl w:val="0"/>
              <w:numPr>
                <w:ilvl w:val="1"/>
                <w:numId w:val="6"/>
              </w:numPr>
              <w:tabs>
                <w:tab w:val="left" w:pos="1428"/>
              </w:tabs>
              <w:autoSpaceDE w:val="0"/>
              <w:ind w:hanging="11"/>
              <w:jc w:val="both"/>
            </w:pPr>
            <w:r w:rsidRPr="008968BB">
              <w:t>требовать созыва внеочередного Общего собрания акционеров, проверки Ревизионной комиссией</w:t>
            </w:r>
            <w:r>
              <w:t xml:space="preserve"> (Ревизором)</w:t>
            </w:r>
            <w:r w:rsidRPr="008968BB">
              <w:t xml:space="preserve"> финансово-хозяйственной деятельности Общества в порядке и на условиях, предусмотренных Федеральным законом «Об акционерных обществах» и Уставом;</w:t>
            </w:r>
          </w:p>
          <w:p w:rsidR="00C64185" w:rsidRPr="008968BB" w:rsidRDefault="00C64185" w:rsidP="0092150E">
            <w:pPr>
              <w:pStyle w:val="Normal1"/>
              <w:widowControl w:val="0"/>
              <w:ind w:firstLine="0"/>
              <w:rPr>
                <w:szCs w:val="24"/>
              </w:rPr>
            </w:pPr>
          </w:p>
        </w:tc>
        <w:tc>
          <w:tcPr>
            <w:tcW w:w="6662" w:type="dxa"/>
          </w:tcPr>
          <w:p w:rsidR="00C64185" w:rsidRPr="008968BB" w:rsidRDefault="00C64185" w:rsidP="00C64185">
            <w:pPr>
              <w:widowControl w:val="0"/>
              <w:numPr>
                <w:ilvl w:val="1"/>
                <w:numId w:val="6"/>
              </w:numPr>
              <w:tabs>
                <w:tab w:val="left" w:pos="1428"/>
              </w:tabs>
              <w:autoSpaceDE w:val="0"/>
              <w:ind w:hanging="11"/>
              <w:jc w:val="both"/>
            </w:pPr>
            <w:r w:rsidRPr="008968BB">
              <w:t>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Федеральным законом «Об акционерных обществах» и Уставом;</w:t>
            </w:r>
          </w:p>
          <w:p w:rsidR="00C64185" w:rsidRPr="008968BB" w:rsidRDefault="00C64185" w:rsidP="00F727E5">
            <w:pPr>
              <w:pStyle w:val="a4"/>
              <w:widowControl w:val="0"/>
              <w:suppressAutoHyphens w:val="0"/>
              <w:overflowPunct w:val="0"/>
              <w:autoSpaceDE w:val="0"/>
              <w:autoSpaceDN w:val="0"/>
              <w:adjustRightInd w:val="0"/>
              <w:ind w:left="33"/>
              <w:jc w:val="both"/>
            </w:pPr>
          </w:p>
        </w:tc>
      </w:tr>
      <w:tr w:rsidR="00C64185" w:rsidRPr="00B94FCE" w:rsidTr="004935A5">
        <w:tc>
          <w:tcPr>
            <w:tcW w:w="1696" w:type="dxa"/>
          </w:tcPr>
          <w:p w:rsidR="00C64185" w:rsidRDefault="00C64185" w:rsidP="00B94FCE">
            <w:pPr>
              <w:jc w:val="center"/>
              <w:rPr>
                <w:b/>
                <w:bCs/>
              </w:rPr>
            </w:pPr>
            <w:r>
              <w:rPr>
                <w:b/>
                <w:bCs/>
              </w:rPr>
              <w:t>П. 10.2</w:t>
            </w:r>
          </w:p>
        </w:tc>
        <w:tc>
          <w:tcPr>
            <w:tcW w:w="6521" w:type="dxa"/>
          </w:tcPr>
          <w:p w:rsidR="00C64185" w:rsidRPr="008968BB" w:rsidRDefault="00C64185" w:rsidP="004935A5">
            <w:pPr>
              <w:widowControl w:val="0"/>
              <w:tabs>
                <w:tab w:val="left" w:pos="1428"/>
              </w:tabs>
              <w:autoSpaceDE w:val="0"/>
              <w:jc w:val="both"/>
            </w:pPr>
            <w:r w:rsidRPr="00C64185">
              <w:t>Для осуществления контроля над финансово-хозяйственной деятельностью в Обществе избирается Ревизионная комиссия</w:t>
            </w:r>
            <w:r>
              <w:t xml:space="preserve"> (Ревизор).</w:t>
            </w:r>
          </w:p>
        </w:tc>
        <w:tc>
          <w:tcPr>
            <w:tcW w:w="6662" w:type="dxa"/>
          </w:tcPr>
          <w:p w:rsidR="00C64185" w:rsidRPr="008968BB" w:rsidRDefault="00C64185" w:rsidP="004935A5">
            <w:pPr>
              <w:widowControl w:val="0"/>
              <w:tabs>
                <w:tab w:val="left" w:pos="1428"/>
              </w:tabs>
              <w:autoSpaceDE w:val="0"/>
              <w:jc w:val="both"/>
            </w:pPr>
            <w:r w:rsidRPr="008968BB">
              <w:rPr>
                <w:spacing w:val="-3"/>
              </w:rPr>
              <w:t>Для осуществления контроля над финансово-хозяйственной деятельностью в Обществе избирается Ревизионная комиссия</w:t>
            </w:r>
            <w:r>
              <w:rPr>
                <w:spacing w:val="-3"/>
              </w:rPr>
              <w:t>.</w:t>
            </w:r>
          </w:p>
        </w:tc>
      </w:tr>
      <w:tr w:rsidR="00C64185" w:rsidRPr="00B94FCE" w:rsidTr="004935A5">
        <w:tc>
          <w:tcPr>
            <w:tcW w:w="1696" w:type="dxa"/>
          </w:tcPr>
          <w:p w:rsidR="00C64185" w:rsidRDefault="00C64185" w:rsidP="00B94FCE">
            <w:pPr>
              <w:jc w:val="center"/>
              <w:rPr>
                <w:b/>
                <w:bCs/>
              </w:rPr>
            </w:pPr>
            <w:proofErr w:type="spellStart"/>
            <w:r>
              <w:rPr>
                <w:b/>
                <w:bCs/>
              </w:rPr>
              <w:t>Пп</w:t>
            </w:r>
            <w:proofErr w:type="spellEnd"/>
            <w:r>
              <w:rPr>
                <w:b/>
                <w:bCs/>
              </w:rPr>
              <w:t>. 8) п. 11.2</w:t>
            </w:r>
          </w:p>
        </w:tc>
        <w:tc>
          <w:tcPr>
            <w:tcW w:w="6521" w:type="dxa"/>
          </w:tcPr>
          <w:p w:rsidR="00C64185" w:rsidRPr="008968BB" w:rsidRDefault="00C64185" w:rsidP="00C64185">
            <w:pPr>
              <w:widowControl w:val="0"/>
              <w:tabs>
                <w:tab w:val="left" w:pos="1428"/>
              </w:tabs>
              <w:autoSpaceDE w:val="0"/>
              <w:ind w:left="720"/>
              <w:jc w:val="both"/>
            </w:pPr>
            <w:r>
              <w:t xml:space="preserve">8) </w:t>
            </w:r>
            <w:r w:rsidRPr="008968BB">
              <w:rPr>
                <w:lang w:eastAsia="ru-RU"/>
              </w:rPr>
              <w:t>избрание членов Ревизионной комиссии (</w:t>
            </w:r>
            <w:r>
              <w:rPr>
                <w:lang w:eastAsia="ru-RU"/>
              </w:rPr>
              <w:t xml:space="preserve">Ревизора) </w:t>
            </w:r>
            <w:r w:rsidRPr="008968BB">
              <w:rPr>
                <w:lang w:eastAsia="ru-RU"/>
              </w:rPr>
              <w:t>Общества и досрочное прекращение их полномочий;</w:t>
            </w:r>
          </w:p>
        </w:tc>
        <w:tc>
          <w:tcPr>
            <w:tcW w:w="6662" w:type="dxa"/>
          </w:tcPr>
          <w:p w:rsidR="00C64185" w:rsidRPr="008968BB" w:rsidRDefault="00C64185" w:rsidP="00C64185">
            <w:pPr>
              <w:widowControl w:val="0"/>
              <w:tabs>
                <w:tab w:val="left" w:pos="1428"/>
              </w:tabs>
              <w:autoSpaceDE w:val="0"/>
              <w:ind w:left="720"/>
              <w:jc w:val="both"/>
            </w:pPr>
            <w:r>
              <w:t xml:space="preserve">8) </w:t>
            </w:r>
            <w:r w:rsidRPr="008968BB">
              <w:rPr>
                <w:lang w:eastAsia="ru-RU"/>
              </w:rPr>
              <w:t>избрание членов Ревизионной комиссии</w:t>
            </w:r>
            <w:r>
              <w:rPr>
                <w:lang w:eastAsia="ru-RU"/>
              </w:rPr>
              <w:t xml:space="preserve"> </w:t>
            </w:r>
            <w:r w:rsidRPr="008968BB">
              <w:rPr>
                <w:lang w:eastAsia="ru-RU"/>
              </w:rPr>
              <w:t>Общества и досрочное прекращение их полномочий;</w:t>
            </w:r>
          </w:p>
        </w:tc>
      </w:tr>
      <w:tr w:rsidR="00C64185" w:rsidRPr="00B94FCE" w:rsidTr="004935A5">
        <w:tc>
          <w:tcPr>
            <w:tcW w:w="1696" w:type="dxa"/>
          </w:tcPr>
          <w:p w:rsidR="00C64185" w:rsidRDefault="00C64185" w:rsidP="00B94FCE">
            <w:pPr>
              <w:jc w:val="center"/>
              <w:rPr>
                <w:b/>
                <w:bCs/>
              </w:rPr>
            </w:pPr>
            <w:r>
              <w:rPr>
                <w:b/>
                <w:bCs/>
              </w:rPr>
              <w:t>П. 11.13</w:t>
            </w:r>
          </w:p>
        </w:tc>
        <w:tc>
          <w:tcPr>
            <w:tcW w:w="6521" w:type="dxa"/>
          </w:tcPr>
          <w:p w:rsidR="00C64185" w:rsidRDefault="00C64185" w:rsidP="004935A5">
            <w:pPr>
              <w:widowControl w:val="0"/>
              <w:jc w:val="both"/>
            </w:pPr>
            <w:r w:rsidRPr="004935A5">
              <w:rPr>
                <w:spacing w:val="-3"/>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w:t>
            </w:r>
            <w:r w:rsidRPr="008968BB">
              <w:rPr>
                <w:lang w:eastAsia="ru-RU"/>
              </w:rPr>
              <w:t xml:space="preserve">о кандидате (кандидатах) в исполнительные органы Общества, Совет директоров Общества, </w:t>
            </w:r>
            <w:r w:rsidRPr="004935A5">
              <w:rPr>
                <w:spacing w:val="-3"/>
              </w:rPr>
              <w:t xml:space="preserve">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w:t>
            </w:r>
            <w:r w:rsidRPr="004935A5">
              <w:rPr>
                <w:spacing w:val="-3"/>
              </w:rPr>
              <w:lastRenderedPageBreak/>
              <w:t>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tc>
        <w:tc>
          <w:tcPr>
            <w:tcW w:w="6662" w:type="dxa"/>
          </w:tcPr>
          <w:p w:rsidR="00C64185" w:rsidRPr="004935A5" w:rsidRDefault="00C64185" w:rsidP="004935A5">
            <w:pPr>
              <w:widowControl w:val="0"/>
              <w:jc w:val="both"/>
              <w:rPr>
                <w:spacing w:val="-3"/>
              </w:rPr>
            </w:pPr>
            <w:r w:rsidRPr="004935A5">
              <w:rPr>
                <w:spacing w:val="-3"/>
              </w:rPr>
              <w:lastRenderedPageBreak/>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Общества по результатам его проверки, годовая бухгалтерская (финансовая) отчетность, аудиторское заключение и заключение Ревизионной комиссии Общества по результатам проверки такой отчетности, сведения </w:t>
            </w:r>
            <w:r w:rsidRPr="008968BB">
              <w:rPr>
                <w:lang w:eastAsia="ru-RU"/>
              </w:rPr>
              <w:t xml:space="preserve">о кандидате (кандидатах) в исполнительные органы Общества, Совет директоров Общества, </w:t>
            </w:r>
            <w:r w:rsidRPr="004935A5">
              <w:rPr>
                <w:spacing w:val="-3"/>
              </w:rPr>
              <w:t xml:space="preserve">Ревизионную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w:t>
            </w:r>
            <w:r w:rsidRPr="004935A5">
              <w:rPr>
                <w:spacing w:val="-3"/>
              </w:rPr>
              <w:lastRenderedPageBreak/>
              <w:t>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C64185" w:rsidRDefault="00C64185" w:rsidP="00C64185">
            <w:pPr>
              <w:widowControl w:val="0"/>
              <w:tabs>
                <w:tab w:val="left" w:pos="1428"/>
              </w:tabs>
              <w:autoSpaceDE w:val="0"/>
              <w:ind w:left="720"/>
              <w:jc w:val="both"/>
            </w:pPr>
          </w:p>
        </w:tc>
      </w:tr>
      <w:tr w:rsidR="00C64185" w:rsidRPr="00B94FCE" w:rsidTr="004935A5">
        <w:tc>
          <w:tcPr>
            <w:tcW w:w="1696" w:type="dxa"/>
          </w:tcPr>
          <w:p w:rsidR="00C64185" w:rsidRDefault="00C64185" w:rsidP="00B94FCE">
            <w:pPr>
              <w:jc w:val="center"/>
              <w:rPr>
                <w:b/>
                <w:bCs/>
              </w:rPr>
            </w:pPr>
            <w:r>
              <w:rPr>
                <w:b/>
                <w:bCs/>
              </w:rPr>
              <w:lastRenderedPageBreak/>
              <w:t>П. 11.16</w:t>
            </w:r>
          </w:p>
        </w:tc>
        <w:tc>
          <w:tcPr>
            <w:tcW w:w="6521" w:type="dxa"/>
          </w:tcPr>
          <w:p w:rsidR="00C64185" w:rsidRDefault="00C64185" w:rsidP="004935A5">
            <w:pPr>
              <w:widowControl w:val="0"/>
              <w:jc w:val="both"/>
            </w:pPr>
            <w:r w:rsidRPr="004935A5">
              <w:rPr>
                <w:spacing w:val="-3"/>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tc>
        <w:tc>
          <w:tcPr>
            <w:tcW w:w="6662" w:type="dxa"/>
          </w:tcPr>
          <w:p w:rsidR="00C64185" w:rsidRPr="004935A5" w:rsidRDefault="00C64185" w:rsidP="004935A5">
            <w:pPr>
              <w:widowControl w:val="0"/>
              <w:jc w:val="both"/>
              <w:rPr>
                <w:spacing w:val="-3"/>
              </w:rPr>
            </w:pPr>
            <w:r w:rsidRPr="004935A5">
              <w:rPr>
                <w:spacing w:val="-3"/>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60 дней после окончания отчетного года.</w:t>
            </w:r>
          </w:p>
          <w:p w:rsidR="00C64185" w:rsidRDefault="00C64185" w:rsidP="00C64185">
            <w:pPr>
              <w:widowControl w:val="0"/>
              <w:tabs>
                <w:tab w:val="left" w:pos="1428"/>
              </w:tabs>
              <w:autoSpaceDE w:val="0"/>
              <w:ind w:left="720"/>
              <w:jc w:val="both"/>
            </w:pPr>
          </w:p>
        </w:tc>
      </w:tr>
      <w:tr w:rsidR="00C64185" w:rsidRPr="00B94FCE" w:rsidTr="004935A5">
        <w:tc>
          <w:tcPr>
            <w:tcW w:w="1696" w:type="dxa"/>
          </w:tcPr>
          <w:p w:rsidR="00C64185" w:rsidRDefault="00C64185" w:rsidP="00B94FCE">
            <w:pPr>
              <w:jc w:val="center"/>
              <w:rPr>
                <w:b/>
                <w:bCs/>
              </w:rPr>
            </w:pPr>
            <w:r>
              <w:rPr>
                <w:b/>
                <w:bCs/>
              </w:rPr>
              <w:t>П. 11.29</w:t>
            </w:r>
          </w:p>
        </w:tc>
        <w:tc>
          <w:tcPr>
            <w:tcW w:w="6521" w:type="dxa"/>
          </w:tcPr>
          <w:p w:rsidR="0045754B" w:rsidRPr="004935A5" w:rsidRDefault="0045754B" w:rsidP="004935A5">
            <w:pPr>
              <w:widowControl w:val="0"/>
              <w:jc w:val="both"/>
              <w:rPr>
                <w:spacing w:val="-3"/>
              </w:rPr>
            </w:pPr>
            <w:r w:rsidRPr="004935A5">
              <w:rPr>
                <w:spacing w:val="-3"/>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C64185" w:rsidRDefault="0045754B" w:rsidP="004935A5">
            <w:pPr>
              <w:widowControl w:val="0"/>
              <w:tabs>
                <w:tab w:val="left" w:pos="1428"/>
              </w:tabs>
              <w:autoSpaceDE w:val="0"/>
              <w:jc w:val="both"/>
            </w:pPr>
            <w:r w:rsidRPr="008968BB">
              <w:rPr>
                <w:szCs w:val="24"/>
              </w:rPr>
              <w:t xml:space="preserve">Созыв внеочередного Общего собрания акционеров по требованию </w:t>
            </w:r>
            <w:r w:rsidRPr="008968BB">
              <w:rPr>
                <w:spacing w:val="-3"/>
              </w:rPr>
              <w:t xml:space="preserve">Ревизионной комиссии </w:t>
            </w:r>
            <w:r>
              <w:rPr>
                <w:spacing w:val="-3"/>
              </w:rPr>
              <w:t xml:space="preserve">(Ревизора) </w:t>
            </w:r>
            <w:r w:rsidRPr="008968BB">
              <w:rPr>
                <w:szCs w:val="24"/>
              </w:rPr>
              <w:t>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tc>
        <w:tc>
          <w:tcPr>
            <w:tcW w:w="6662" w:type="dxa"/>
          </w:tcPr>
          <w:p w:rsidR="0045754B" w:rsidRPr="004935A5" w:rsidRDefault="0045754B" w:rsidP="004935A5">
            <w:pPr>
              <w:widowControl w:val="0"/>
              <w:jc w:val="both"/>
              <w:rPr>
                <w:spacing w:val="-3"/>
              </w:rPr>
            </w:pPr>
            <w:r w:rsidRPr="004935A5">
              <w:rPr>
                <w:spacing w:val="-3"/>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C64185" w:rsidRDefault="0045754B" w:rsidP="004935A5">
            <w:pPr>
              <w:widowControl w:val="0"/>
              <w:tabs>
                <w:tab w:val="left" w:pos="1428"/>
              </w:tabs>
              <w:autoSpaceDE w:val="0"/>
              <w:jc w:val="both"/>
            </w:pPr>
            <w:r w:rsidRPr="008968BB">
              <w:rPr>
                <w:szCs w:val="24"/>
              </w:rPr>
              <w:t xml:space="preserve">Созыв внеочередного Общего собрания акционеров по требованию </w:t>
            </w:r>
            <w:r w:rsidRPr="008968BB">
              <w:rPr>
                <w:spacing w:val="-3"/>
              </w:rPr>
              <w:t xml:space="preserve">Ревизионной комиссии </w:t>
            </w:r>
            <w:r w:rsidRPr="008968BB">
              <w:rPr>
                <w:szCs w:val="24"/>
              </w:rPr>
              <w:t>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tc>
      </w:tr>
      <w:tr w:rsidR="00C64185" w:rsidRPr="00B94FCE" w:rsidTr="004935A5">
        <w:tc>
          <w:tcPr>
            <w:tcW w:w="1696" w:type="dxa"/>
          </w:tcPr>
          <w:p w:rsidR="00C64185" w:rsidRDefault="0045754B" w:rsidP="00B94FCE">
            <w:pPr>
              <w:jc w:val="center"/>
              <w:rPr>
                <w:b/>
                <w:bCs/>
              </w:rPr>
            </w:pPr>
            <w:r>
              <w:rPr>
                <w:b/>
                <w:bCs/>
              </w:rPr>
              <w:t>П. 11.30</w:t>
            </w:r>
          </w:p>
        </w:tc>
        <w:tc>
          <w:tcPr>
            <w:tcW w:w="6521" w:type="dxa"/>
          </w:tcPr>
          <w:p w:rsidR="0045754B" w:rsidRPr="004935A5" w:rsidRDefault="0045754B" w:rsidP="004935A5">
            <w:pPr>
              <w:widowControl w:val="0"/>
              <w:jc w:val="both"/>
              <w:rPr>
                <w:szCs w:val="24"/>
              </w:rPr>
            </w:pPr>
            <w:r w:rsidRPr="004935A5">
              <w:rPr>
                <w:szCs w:val="24"/>
              </w:rPr>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rsidR="0045754B" w:rsidRPr="004935A5" w:rsidRDefault="0045754B" w:rsidP="004935A5">
            <w:pPr>
              <w:pStyle w:val="Normal1"/>
              <w:widowControl w:val="0"/>
              <w:ind w:firstLine="0"/>
              <w:rPr>
                <w:rFonts w:asciiTheme="minorHAnsi" w:eastAsiaTheme="minorHAnsi" w:hAnsiTheme="minorHAnsi" w:cstheme="minorBidi"/>
                <w:sz w:val="22"/>
                <w:szCs w:val="24"/>
                <w:lang w:eastAsia="en-US"/>
              </w:rPr>
            </w:pPr>
            <w:r w:rsidRPr="004935A5">
              <w:rPr>
                <w:rFonts w:asciiTheme="minorHAnsi" w:eastAsiaTheme="minorHAnsi" w:hAnsiTheme="minorHAnsi" w:cstheme="minorBidi"/>
                <w:sz w:val="22"/>
                <w:szCs w:val="24"/>
                <w:lang w:eastAsia="en-US"/>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45754B" w:rsidRPr="004935A5" w:rsidRDefault="0045754B" w:rsidP="004935A5">
            <w:pPr>
              <w:pStyle w:val="Normal1"/>
              <w:widowControl w:val="0"/>
              <w:ind w:firstLine="0"/>
              <w:rPr>
                <w:rFonts w:asciiTheme="minorHAnsi" w:eastAsiaTheme="minorHAnsi" w:hAnsiTheme="minorHAnsi" w:cstheme="minorBidi"/>
                <w:sz w:val="22"/>
                <w:szCs w:val="24"/>
                <w:lang w:eastAsia="en-US"/>
              </w:rPr>
            </w:pPr>
            <w:r w:rsidRPr="004935A5">
              <w:rPr>
                <w:rFonts w:asciiTheme="minorHAnsi" w:eastAsiaTheme="minorHAnsi" w:hAnsiTheme="minorHAnsi" w:cstheme="minorBidi"/>
                <w:sz w:val="22"/>
                <w:szCs w:val="24"/>
                <w:lang w:eastAsia="en-US"/>
              </w:rPr>
              <w:t xml:space="preserve">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w:t>
            </w:r>
            <w:r w:rsidRPr="004935A5">
              <w:rPr>
                <w:rFonts w:asciiTheme="minorHAnsi" w:eastAsiaTheme="minorHAnsi" w:hAnsiTheme="minorHAnsi" w:cstheme="minorBidi"/>
                <w:sz w:val="22"/>
                <w:szCs w:val="24"/>
                <w:lang w:eastAsia="en-US"/>
              </w:rPr>
              <w:lastRenderedPageBreak/>
              <w:t>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rsidR="00C64185" w:rsidRPr="004935A5" w:rsidRDefault="0045754B" w:rsidP="004935A5">
            <w:pPr>
              <w:pStyle w:val="Normal1"/>
              <w:widowControl w:val="0"/>
              <w:ind w:firstLine="0"/>
              <w:rPr>
                <w:rFonts w:asciiTheme="minorHAnsi" w:eastAsiaTheme="minorHAnsi" w:hAnsiTheme="minorHAnsi" w:cstheme="minorBidi"/>
                <w:sz w:val="22"/>
                <w:szCs w:val="24"/>
                <w:lang w:eastAsia="en-US"/>
              </w:rPr>
            </w:pPr>
            <w:r w:rsidRPr="004935A5">
              <w:rPr>
                <w:rFonts w:asciiTheme="minorHAnsi" w:eastAsiaTheme="minorHAnsi" w:hAnsiTheme="minorHAnsi" w:cstheme="minorBidi"/>
                <w:sz w:val="22"/>
                <w:szCs w:val="24"/>
                <w:lang w:eastAsia="en-US"/>
              </w:rPr>
              <w:t>Решение Совета директоров об отказе в созыве внеочередного Общего собрания акционеров может быть обжаловано в суд.</w:t>
            </w:r>
          </w:p>
        </w:tc>
        <w:tc>
          <w:tcPr>
            <w:tcW w:w="6662" w:type="dxa"/>
          </w:tcPr>
          <w:p w:rsidR="0045754B" w:rsidRPr="004935A5" w:rsidRDefault="0045754B" w:rsidP="004935A5">
            <w:pPr>
              <w:widowControl w:val="0"/>
              <w:jc w:val="both"/>
              <w:rPr>
                <w:szCs w:val="24"/>
              </w:rPr>
            </w:pPr>
            <w:r w:rsidRPr="004935A5">
              <w:rPr>
                <w:szCs w:val="24"/>
              </w:rPr>
              <w:lastRenderedPageBreak/>
              <w:t xml:space="preserve">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rsidR="0045754B" w:rsidRPr="004935A5" w:rsidRDefault="0045754B" w:rsidP="004935A5">
            <w:pPr>
              <w:pStyle w:val="Normal1"/>
              <w:widowControl w:val="0"/>
              <w:ind w:firstLine="0"/>
              <w:rPr>
                <w:rFonts w:asciiTheme="minorHAnsi" w:eastAsiaTheme="minorHAnsi" w:hAnsiTheme="minorHAnsi" w:cstheme="minorBidi"/>
                <w:sz w:val="22"/>
                <w:szCs w:val="24"/>
                <w:lang w:eastAsia="en-US"/>
              </w:rPr>
            </w:pPr>
            <w:r w:rsidRPr="004935A5">
              <w:rPr>
                <w:rFonts w:asciiTheme="minorHAnsi" w:eastAsiaTheme="minorHAnsi" w:hAnsiTheme="minorHAnsi" w:cstheme="minorBidi"/>
                <w:sz w:val="22"/>
                <w:szCs w:val="24"/>
                <w:lang w:eastAsia="en-US"/>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45754B" w:rsidRPr="004935A5" w:rsidRDefault="0045754B" w:rsidP="004935A5">
            <w:pPr>
              <w:pStyle w:val="Normal1"/>
              <w:widowControl w:val="0"/>
              <w:ind w:firstLine="0"/>
              <w:rPr>
                <w:rFonts w:asciiTheme="minorHAnsi" w:eastAsiaTheme="minorHAnsi" w:hAnsiTheme="minorHAnsi" w:cstheme="minorBidi"/>
                <w:sz w:val="22"/>
                <w:szCs w:val="24"/>
                <w:lang w:eastAsia="en-US"/>
              </w:rPr>
            </w:pPr>
            <w:r w:rsidRPr="004935A5">
              <w:rPr>
                <w:rFonts w:asciiTheme="minorHAnsi" w:eastAsiaTheme="minorHAnsi" w:hAnsiTheme="minorHAnsi" w:cstheme="minorBidi"/>
                <w:sz w:val="22"/>
                <w:szCs w:val="24"/>
                <w:lang w:eastAsia="en-US"/>
              </w:rPr>
              <w:t xml:space="preserve">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w:t>
            </w:r>
            <w:r w:rsidRPr="004935A5">
              <w:rPr>
                <w:rFonts w:asciiTheme="minorHAnsi" w:eastAsiaTheme="minorHAnsi" w:hAnsiTheme="minorHAnsi" w:cstheme="minorBidi"/>
                <w:sz w:val="22"/>
                <w:szCs w:val="24"/>
                <w:lang w:eastAsia="en-US"/>
              </w:rPr>
              <w:lastRenderedPageBreak/>
              <w:t>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rsidR="00C64185" w:rsidRPr="004935A5" w:rsidRDefault="0045754B" w:rsidP="004935A5">
            <w:pPr>
              <w:pStyle w:val="Normal1"/>
              <w:widowControl w:val="0"/>
              <w:ind w:firstLine="0"/>
              <w:rPr>
                <w:szCs w:val="24"/>
              </w:rPr>
            </w:pPr>
            <w:r w:rsidRPr="004935A5">
              <w:rPr>
                <w:rFonts w:asciiTheme="minorHAnsi" w:eastAsiaTheme="minorHAnsi" w:hAnsiTheme="minorHAnsi" w:cstheme="minorBidi"/>
                <w:sz w:val="22"/>
                <w:szCs w:val="24"/>
                <w:lang w:eastAsia="en-US"/>
              </w:rPr>
              <w:t>Решение Совета директоров об отказе в созыве внеочередного Общего собрания акционеров может быть обжаловано в суд.</w:t>
            </w:r>
          </w:p>
        </w:tc>
      </w:tr>
      <w:tr w:rsidR="00C64185" w:rsidRPr="00B94FCE" w:rsidTr="004935A5">
        <w:tc>
          <w:tcPr>
            <w:tcW w:w="1696" w:type="dxa"/>
          </w:tcPr>
          <w:p w:rsidR="00C64185" w:rsidRDefault="00CB29BD" w:rsidP="00B94FCE">
            <w:pPr>
              <w:jc w:val="center"/>
              <w:rPr>
                <w:b/>
                <w:bCs/>
              </w:rPr>
            </w:pPr>
            <w:r>
              <w:rPr>
                <w:b/>
                <w:bCs/>
              </w:rPr>
              <w:lastRenderedPageBreak/>
              <w:t>П. 11.31</w:t>
            </w:r>
          </w:p>
        </w:tc>
        <w:tc>
          <w:tcPr>
            <w:tcW w:w="6521" w:type="dxa"/>
          </w:tcPr>
          <w:p w:rsidR="00C64185" w:rsidRDefault="00DA3150" w:rsidP="004935A5">
            <w:pPr>
              <w:widowControl w:val="0"/>
              <w:jc w:val="both"/>
            </w:pPr>
            <w:r w:rsidRPr="004935A5">
              <w:rPr>
                <w:spacing w:val="-3"/>
              </w:rPr>
              <w:t>Внеочередное Общее собрание акционеров, созываемое по требованию требования Ревизионной комиссии</w:t>
            </w:r>
            <w:r w:rsidRPr="004935A5">
              <w:rPr>
                <w:spacing w:val="-3"/>
              </w:rPr>
              <w:t xml:space="preserve"> (Ревизора)</w:t>
            </w:r>
            <w:r w:rsidRPr="004935A5">
              <w:rPr>
                <w:spacing w:val="-3"/>
              </w:rPr>
              <w:t xml:space="preserve">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tc>
        <w:tc>
          <w:tcPr>
            <w:tcW w:w="6662" w:type="dxa"/>
          </w:tcPr>
          <w:p w:rsidR="00DA3150" w:rsidRPr="004935A5" w:rsidRDefault="00DA3150" w:rsidP="004935A5">
            <w:pPr>
              <w:widowControl w:val="0"/>
              <w:jc w:val="both"/>
              <w:rPr>
                <w:spacing w:val="-3"/>
              </w:rPr>
            </w:pPr>
            <w:r w:rsidRPr="004935A5">
              <w:rPr>
                <w:spacing w:val="-3"/>
              </w:rPr>
              <w:t>Внеочередное Общее собрание акционеров, созываемое по требованию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rsidR="00C64185" w:rsidRDefault="00C64185" w:rsidP="00C64185">
            <w:pPr>
              <w:widowControl w:val="0"/>
              <w:tabs>
                <w:tab w:val="left" w:pos="1428"/>
              </w:tabs>
              <w:autoSpaceDE w:val="0"/>
              <w:ind w:left="720"/>
              <w:jc w:val="both"/>
            </w:pPr>
          </w:p>
        </w:tc>
      </w:tr>
      <w:tr w:rsidR="00C64185" w:rsidRPr="00B94FCE" w:rsidTr="004935A5">
        <w:tc>
          <w:tcPr>
            <w:tcW w:w="1696" w:type="dxa"/>
          </w:tcPr>
          <w:p w:rsidR="00C64185" w:rsidRPr="00DA3150" w:rsidRDefault="00DA3150" w:rsidP="00B94FCE">
            <w:pPr>
              <w:jc w:val="center"/>
              <w:rPr>
                <w:b/>
                <w:bCs/>
                <w:lang w:val="en-US"/>
              </w:rPr>
            </w:pPr>
            <w:r>
              <w:rPr>
                <w:b/>
                <w:bCs/>
                <w:lang w:val="en-US"/>
              </w:rPr>
              <w:t>П. 11.39</w:t>
            </w:r>
          </w:p>
        </w:tc>
        <w:tc>
          <w:tcPr>
            <w:tcW w:w="6521" w:type="dxa"/>
          </w:tcPr>
          <w:p w:rsidR="00DA3150" w:rsidRPr="004935A5" w:rsidRDefault="00DA3150" w:rsidP="004935A5">
            <w:pPr>
              <w:widowControl w:val="0"/>
              <w:jc w:val="both"/>
              <w:rPr>
                <w:spacing w:val="-3"/>
              </w:rPr>
            </w:pPr>
            <w:r w:rsidRPr="004935A5">
              <w:rPr>
                <w:spacing w:val="-3"/>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в случаях, предусмотренных ст. 60 Федерального закона «Об акционерных обществах»,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C64185" w:rsidRDefault="00DA3150" w:rsidP="004935A5">
            <w:pPr>
              <w:autoSpaceDE w:val="0"/>
              <w:autoSpaceDN w:val="0"/>
              <w:adjustRightInd w:val="0"/>
              <w:jc w:val="both"/>
            </w:pPr>
            <w:r w:rsidRPr="008968BB">
              <w:t>Направление бюллетеней для голосования в таком случае осуществляется заказным письмом.</w:t>
            </w:r>
          </w:p>
        </w:tc>
        <w:tc>
          <w:tcPr>
            <w:tcW w:w="6662" w:type="dxa"/>
          </w:tcPr>
          <w:p w:rsidR="00DA3150" w:rsidRPr="004935A5" w:rsidRDefault="00DA3150" w:rsidP="004935A5">
            <w:pPr>
              <w:widowControl w:val="0"/>
              <w:jc w:val="both"/>
              <w:rPr>
                <w:spacing w:val="-3"/>
              </w:rPr>
            </w:pPr>
            <w:r w:rsidRPr="004935A5">
              <w:rPr>
                <w:spacing w:val="-3"/>
              </w:rPr>
              <w:t>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направляются в порядке, предусмотренным ст. 60 Федерального закона «Об акционерных обществах», не позднее чем за 20 дней до проведения Общего собрания акционеров.</w:t>
            </w:r>
          </w:p>
          <w:p w:rsidR="00C64185" w:rsidRDefault="00C64185" w:rsidP="00C64185">
            <w:pPr>
              <w:widowControl w:val="0"/>
              <w:tabs>
                <w:tab w:val="left" w:pos="1428"/>
              </w:tabs>
              <w:autoSpaceDE w:val="0"/>
              <w:ind w:left="720"/>
              <w:jc w:val="both"/>
            </w:pPr>
          </w:p>
        </w:tc>
      </w:tr>
      <w:tr w:rsidR="00C64185" w:rsidRPr="00B94FCE" w:rsidTr="004935A5">
        <w:tc>
          <w:tcPr>
            <w:tcW w:w="1696" w:type="dxa"/>
          </w:tcPr>
          <w:p w:rsidR="00C64185" w:rsidRPr="00DA3150" w:rsidRDefault="00DA3150" w:rsidP="00B94FCE">
            <w:pPr>
              <w:jc w:val="center"/>
              <w:rPr>
                <w:b/>
                <w:bCs/>
                <w:lang w:val="en-US"/>
              </w:rPr>
            </w:pPr>
            <w:r>
              <w:rPr>
                <w:b/>
                <w:bCs/>
                <w:lang w:val="en-US"/>
              </w:rPr>
              <w:t>П. 12.11</w:t>
            </w:r>
          </w:p>
        </w:tc>
        <w:tc>
          <w:tcPr>
            <w:tcW w:w="6521" w:type="dxa"/>
          </w:tcPr>
          <w:p w:rsidR="00C64185" w:rsidRDefault="00DA3150" w:rsidP="004935A5">
            <w:pPr>
              <w:widowControl w:val="0"/>
              <w:jc w:val="both"/>
            </w:pPr>
            <w:r w:rsidRPr="00DA3150">
              <w:rPr>
                <w:spacing w:val="-3"/>
              </w:rPr>
              <w:t xml:space="preserve">Заседание Совета директоров созывается Председателем Совета директоров по его собственной инициативе (или Заместителем Председателя по поручению Председателя Совета директоров), по требованию члена Совета директоров, Ревизионной комиссии </w:t>
            </w:r>
            <w:r w:rsidRPr="00DA3150">
              <w:rPr>
                <w:spacing w:val="-3"/>
              </w:rPr>
              <w:t xml:space="preserve">(Ревизора) </w:t>
            </w:r>
            <w:r w:rsidRPr="00DA3150">
              <w:rPr>
                <w:spacing w:val="-3"/>
              </w:rPr>
              <w:t>Общества или Аудитора Общества, Единоличного исполнительного органа Общества, акционеров Общества, владеющих более 10 % (десяти процентов) акций.</w:t>
            </w:r>
          </w:p>
        </w:tc>
        <w:tc>
          <w:tcPr>
            <w:tcW w:w="6662" w:type="dxa"/>
          </w:tcPr>
          <w:p w:rsidR="00C64185" w:rsidRDefault="00DA3150" w:rsidP="004935A5">
            <w:pPr>
              <w:widowControl w:val="0"/>
              <w:jc w:val="both"/>
            </w:pPr>
            <w:r w:rsidRPr="00DA3150">
              <w:rPr>
                <w:spacing w:val="-3"/>
              </w:rPr>
              <w:t>Заседание Совета директоров созывается Председателем Совета директоров по его собственной инициативе (или Заместителем Председателя по поручению Председателя Совета директоров), по требованию члена Совета директоров, Ревизионной комиссии Общества или Аудитора Общества, Единоличного исполнительного органа Общества, акционеров Общества, владеющих более 10 % (десяти процентов) акций.</w:t>
            </w:r>
          </w:p>
        </w:tc>
      </w:tr>
      <w:tr w:rsidR="00DA3150" w:rsidRPr="00B94FCE" w:rsidTr="004935A5">
        <w:tc>
          <w:tcPr>
            <w:tcW w:w="1696" w:type="dxa"/>
          </w:tcPr>
          <w:p w:rsidR="00DA3150" w:rsidRDefault="00DA3150" w:rsidP="00B94FCE">
            <w:pPr>
              <w:jc w:val="center"/>
              <w:rPr>
                <w:b/>
                <w:bCs/>
                <w:lang w:val="en-US"/>
              </w:rPr>
            </w:pPr>
            <w:r>
              <w:rPr>
                <w:b/>
                <w:bCs/>
                <w:lang w:val="en-US"/>
              </w:rPr>
              <w:t>П. 14</w:t>
            </w:r>
          </w:p>
        </w:tc>
        <w:tc>
          <w:tcPr>
            <w:tcW w:w="6521" w:type="dxa"/>
          </w:tcPr>
          <w:p w:rsidR="00DA3150" w:rsidRPr="00DA3150" w:rsidRDefault="00DA3150" w:rsidP="004935A5">
            <w:pPr>
              <w:widowControl w:val="0"/>
              <w:rPr>
                <w:spacing w:val="-3"/>
              </w:rPr>
            </w:pPr>
            <w:r w:rsidRPr="00DA3150">
              <w:rPr>
                <w:b/>
              </w:rPr>
              <w:t xml:space="preserve">Ревизионная комиссия </w:t>
            </w:r>
            <w:r w:rsidRPr="00DA3150">
              <w:rPr>
                <w:b/>
              </w:rPr>
              <w:t xml:space="preserve">(Ревизор) </w:t>
            </w:r>
            <w:r w:rsidRPr="00DA3150">
              <w:rPr>
                <w:b/>
              </w:rPr>
              <w:t>и Аудитор Общества</w:t>
            </w:r>
          </w:p>
        </w:tc>
        <w:tc>
          <w:tcPr>
            <w:tcW w:w="6662" w:type="dxa"/>
          </w:tcPr>
          <w:p w:rsidR="00DA3150" w:rsidRPr="00DA3150" w:rsidRDefault="00DA3150" w:rsidP="004935A5">
            <w:pPr>
              <w:widowControl w:val="0"/>
              <w:rPr>
                <w:spacing w:val="-3"/>
              </w:rPr>
            </w:pPr>
            <w:r w:rsidRPr="00DA3150">
              <w:rPr>
                <w:b/>
              </w:rPr>
              <w:t>Ревизионная комиссия и Аудитор Общества</w:t>
            </w:r>
          </w:p>
        </w:tc>
      </w:tr>
      <w:tr w:rsidR="00DA3150" w:rsidRPr="00B94FCE" w:rsidTr="004935A5">
        <w:tc>
          <w:tcPr>
            <w:tcW w:w="1696" w:type="dxa"/>
          </w:tcPr>
          <w:p w:rsidR="00DA3150" w:rsidRPr="00DA3150" w:rsidRDefault="00DA3150" w:rsidP="00B94FCE">
            <w:pPr>
              <w:jc w:val="center"/>
              <w:rPr>
                <w:b/>
                <w:bCs/>
                <w:lang w:val="en-US"/>
              </w:rPr>
            </w:pPr>
            <w:r>
              <w:rPr>
                <w:b/>
                <w:bCs/>
                <w:lang w:val="en-US"/>
              </w:rPr>
              <w:t>П. 14.1</w:t>
            </w:r>
          </w:p>
        </w:tc>
        <w:tc>
          <w:tcPr>
            <w:tcW w:w="6521" w:type="dxa"/>
          </w:tcPr>
          <w:p w:rsidR="00DA3150" w:rsidRPr="00DA3150" w:rsidRDefault="00DA3150" w:rsidP="00DA3150">
            <w:pPr>
              <w:widowControl w:val="0"/>
              <w:jc w:val="both"/>
              <w:rPr>
                <w:spacing w:val="-3"/>
              </w:rPr>
            </w:pPr>
            <w:r w:rsidRPr="008968BB">
              <w:rPr>
                <w:spacing w:val="-3"/>
                <w:lang w:eastAsia="ru-RU"/>
              </w:rPr>
              <w:t>Контроль за финансово-хозяйственной деятельностью Общества осуществляется Ревизионной комиссией</w:t>
            </w:r>
            <w:r w:rsidRPr="00DA3150">
              <w:rPr>
                <w:spacing w:val="-3"/>
                <w:lang w:eastAsia="ru-RU"/>
              </w:rPr>
              <w:t xml:space="preserve"> (Ревизором)</w:t>
            </w:r>
            <w:r w:rsidRPr="008968BB">
              <w:rPr>
                <w:spacing w:val="-3"/>
                <w:lang w:eastAsia="ru-RU"/>
              </w:rPr>
              <w:t xml:space="preserve">. Ревизионная комиссия </w:t>
            </w:r>
            <w:r w:rsidRPr="00DA3150">
              <w:rPr>
                <w:spacing w:val="-3"/>
                <w:lang w:eastAsia="ru-RU"/>
              </w:rPr>
              <w:t xml:space="preserve">(Ревизор) </w:t>
            </w:r>
            <w:r w:rsidRPr="008968BB">
              <w:rPr>
                <w:spacing w:val="-3"/>
                <w:lang w:eastAsia="ru-RU"/>
              </w:rPr>
              <w:t xml:space="preserve">Общества избирается Общим собранием акционеров на срок до следующего годового Общего собрания </w:t>
            </w:r>
            <w:r w:rsidRPr="008968BB">
              <w:rPr>
                <w:spacing w:val="-3"/>
                <w:lang w:eastAsia="ru-RU"/>
              </w:rPr>
              <w:lastRenderedPageBreak/>
              <w:t>акционеров</w:t>
            </w:r>
          </w:p>
        </w:tc>
        <w:tc>
          <w:tcPr>
            <w:tcW w:w="6662" w:type="dxa"/>
          </w:tcPr>
          <w:p w:rsidR="00DA3150" w:rsidRPr="00DA3150" w:rsidRDefault="00DA3150" w:rsidP="00DA3150">
            <w:pPr>
              <w:widowControl w:val="0"/>
              <w:jc w:val="both"/>
              <w:rPr>
                <w:spacing w:val="-3"/>
              </w:rPr>
            </w:pPr>
            <w:r w:rsidRPr="008968BB">
              <w:rPr>
                <w:spacing w:val="-3"/>
                <w:lang w:eastAsia="ru-RU"/>
              </w:rPr>
              <w:lastRenderedPageBreak/>
              <w:t xml:space="preserve">Контроль за финансово-хозяйственной деятельностью Общества осуществляется Ревизионной комиссией. Ревизионная комиссия Общества избирается Общим собранием акционеров </w:t>
            </w:r>
            <w:r>
              <w:rPr>
                <w:spacing w:val="-3"/>
                <w:lang w:eastAsia="ru-RU"/>
              </w:rPr>
              <w:t xml:space="preserve">в количестве 2 (двух) человек </w:t>
            </w:r>
            <w:r w:rsidRPr="008968BB">
              <w:rPr>
                <w:spacing w:val="-3"/>
                <w:lang w:eastAsia="ru-RU"/>
              </w:rPr>
              <w:t xml:space="preserve">на срок до следующего годового Общего собрания </w:t>
            </w:r>
            <w:r w:rsidRPr="008968BB">
              <w:rPr>
                <w:spacing w:val="-3"/>
                <w:lang w:eastAsia="ru-RU"/>
              </w:rPr>
              <w:lastRenderedPageBreak/>
              <w:t>акционеров</w:t>
            </w:r>
          </w:p>
        </w:tc>
      </w:tr>
      <w:tr w:rsidR="00DA3150" w:rsidRPr="00B94FCE" w:rsidTr="004935A5">
        <w:tc>
          <w:tcPr>
            <w:tcW w:w="1696" w:type="dxa"/>
          </w:tcPr>
          <w:p w:rsidR="00DA3150" w:rsidRPr="00DA3150" w:rsidRDefault="00DA3150" w:rsidP="00B94FCE">
            <w:pPr>
              <w:jc w:val="center"/>
              <w:rPr>
                <w:b/>
                <w:bCs/>
                <w:lang w:val="en-US"/>
              </w:rPr>
            </w:pPr>
            <w:r>
              <w:rPr>
                <w:b/>
                <w:bCs/>
                <w:lang w:val="en-US"/>
              </w:rPr>
              <w:lastRenderedPageBreak/>
              <w:t>П. 14.2</w:t>
            </w:r>
          </w:p>
        </w:tc>
        <w:tc>
          <w:tcPr>
            <w:tcW w:w="6521" w:type="dxa"/>
          </w:tcPr>
          <w:p w:rsidR="00DA3150" w:rsidRPr="00DA3150" w:rsidRDefault="00DA3150" w:rsidP="00DA3150">
            <w:pPr>
              <w:widowControl w:val="0"/>
              <w:jc w:val="both"/>
              <w:rPr>
                <w:spacing w:val="-3"/>
              </w:rPr>
            </w:pPr>
            <w:r w:rsidRPr="00DA3150">
              <w:rPr>
                <w:spacing w:val="-3"/>
                <w:lang w:eastAsia="ru-RU"/>
              </w:rPr>
              <w:t xml:space="preserve">Полномочия любого члена или всех членов Ревизионной комиссии </w:t>
            </w:r>
            <w:r w:rsidRPr="00DA3150">
              <w:rPr>
                <w:spacing w:val="-3"/>
                <w:lang w:eastAsia="ru-RU"/>
              </w:rPr>
              <w:t xml:space="preserve">(Ревизора) </w:t>
            </w:r>
            <w:r w:rsidRPr="00DA3150">
              <w:rPr>
                <w:spacing w:val="-3"/>
                <w:lang w:eastAsia="ru-RU"/>
              </w:rPr>
              <w:t>могут быть прекращены досрочно решением Общего собрания акционеров.</w:t>
            </w:r>
          </w:p>
        </w:tc>
        <w:tc>
          <w:tcPr>
            <w:tcW w:w="6662" w:type="dxa"/>
          </w:tcPr>
          <w:p w:rsidR="00DA3150" w:rsidRPr="00DA3150" w:rsidRDefault="00DA3150" w:rsidP="00DA3150">
            <w:pPr>
              <w:widowControl w:val="0"/>
              <w:jc w:val="both"/>
              <w:rPr>
                <w:spacing w:val="-3"/>
              </w:rPr>
            </w:pPr>
            <w:r w:rsidRPr="00DA3150">
              <w:rPr>
                <w:spacing w:val="-3"/>
                <w:lang w:eastAsia="ru-RU"/>
              </w:rPr>
              <w:t>Полномочия любого члена или всех членов Ревизионной комиссии могут быть прекращены досрочно решением Общего собрания акционеров.</w:t>
            </w:r>
          </w:p>
        </w:tc>
      </w:tr>
      <w:tr w:rsidR="00DA3150" w:rsidRPr="00B94FCE" w:rsidTr="004935A5">
        <w:tc>
          <w:tcPr>
            <w:tcW w:w="1696" w:type="dxa"/>
          </w:tcPr>
          <w:p w:rsidR="00DA3150" w:rsidRPr="00DA3150" w:rsidRDefault="00DA3150" w:rsidP="00B94FCE">
            <w:pPr>
              <w:jc w:val="center"/>
              <w:rPr>
                <w:b/>
                <w:bCs/>
                <w:lang w:val="en-US"/>
              </w:rPr>
            </w:pPr>
            <w:r>
              <w:rPr>
                <w:b/>
                <w:bCs/>
                <w:lang w:val="en-US"/>
              </w:rPr>
              <w:t>П. 14.4</w:t>
            </w:r>
          </w:p>
        </w:tc>
        <w:tc>
          <w:tcPr>
            <w:tcW w:w="6521" w:type="dxa"/>
          </w:tcPr>
          <w:p w:rsidR="00DA3150" w:rsidRPr="00DA3150" w:rsidRDefault="00DA3150" w:rsidP="00DA3150">
            <w:pPr>
              <w:widowControl w:val="0"/>
              <w:jc w:val="both"/>
              <w:rPr>
                <w:spacing w:val="-3"/>
              </w:rPr>
            </w:pPr>
            <w:r w:rsidRPr="00DA3150">
              <w:rPr>
                <w:spacing w:val="-3"/>
                <w:lang w:eastAsia="ru-RU"/>
              </w:rPr>
              <w:t>В компетенцию Ревизионной комиссии входит:</w:t>
            </w:r>
          </w:p>
        </w:tc>
        <w:tc>
          <w:tcPr>
            <w:tcW w:w="6662" w:type="dxa"/>
          </w:tcPr>
          <w:p w:rsidR="00DA3150" w:rsidRPr="00DA3150" w:rsidRDefault="00DA3150" w:rsidP="00DA3150">
            <w:pPr>
              <w:widowControl w:val="0"/>
              <w:jc w:val="both"/>
              <w:rPr>
                <w:spacing w:val="-3"/>
              </w:rPr>
            </w:pPr>
            <w:r w:rsidRPr="00DA3150">
              <w:rPr>
                <w:spacing w:val="-3"/>
              </w:rPr>
              <w:t>В компетенцию Ревизионной комиссии входит:</w:t>
            </w:r>
          </w:p>
        </w:tc>
      </w:tr>
      <w:tr w:rsidR="00DA3150" w:rsidRPr="00B94FCE" w:rsidTr="004935A5">
        <w:tc>
          <w:tcPr>
            <w:tcW w:w="1696" w:type="dxa"/>
          </w:tcPr>
          <w:p w:rsidR="00DA3150" w:rsidRPr="00DA3150" w:rsidRDefault="00DA3150" w:rsidP="00B94FCE">
            <w:pPr>
              <w:jc w:val="center"/>
              <w:rPr>
                <w:b/>
                <w:bCs/>
                <w:lang w:val="en-US"/>
              </w:rPr>
            </w:pPr>
            <w:r>
              <w:rPr>
                <w:b/>
                <w:bCs/>
                <w:lang w:val="en-US"/>
              </w:rPr>
              <w:t>Абз.9, 10. П. 1.4</w:t>
            </w:r>
          </w:p>
        </w:tc>
        <w:tc>
          <w:tcPr>
            <w:tcW w:w="6521" w:type="dxa"/>
          </w:tcPr>
          <w:p w:rsidR="00DA3150" w:rsidRPr="00DA3150" w:rsidRDefault="00DA3150" w:rsidP="00DA3150">
            <w:pPr>
              <w:widowControl w:val="0"/>
              <w:jc w:val="both"/>
              <w:rPr>
                <w:spacing w:val="-3"/>
              </w:rPr>
            </w:pPr>
            <w:r w:rsidRPr="00DA3150">
              <w:rPr>
                <w:spacing w:val="-3"/>
              </w:rPr>
              <w:t>•</w:t>
            </w:r>
            <w:r w:rsidRPr="00DA3150">
              <w:rPr>
                <w:spacing w:val="-3"/>
              </w:rPr>
              <w:tab/>
              <w:t>анализ решений Общего собрания акционеров на их соответствие действующему законодательству Российской Федерации и Уставу Общества.</w:t>
            </w:r>
          </w:p>
          <w:p w:rsidR="00DA3150" w:rsidRPr="00DA3150" w:rsidRDefault="00DA3150" w:rsidP="00DA3150">
            <w:pPr>
              <w:widowControl w:val="0"/>
              <w:jc w:val="both"/>
              <w:rPr>
                <w:spacing w:val="-3"/>
              </w:rPr>
            </w:pPr>
            <w:r w:rsidRPr="00DA3150">
              <w:rPr>
                <w:spacing w:val="-3"/>
              </w:rPr>
              <w:t>Ревизионная комиссия (Ревизор) имеет право:</w:t>
            </w:r>
          </w:p>
          <w:p w:rsidR="00DA3150" w:rsidRPr="00DA3150" w:rsidRDefault="00DA3150" w:rsidP="00DA3150">
            <w:pPr>
              <w:widowControl w:val="0"/>
              <w:jc w:val="both"/>
              <w:rPr>
                <w:spacing w:val="-3"/>
              </w:rPr>
            </w:pPr>
            <w:r w:rsidRPr="00DA3150">
              <w:rPr>
                <w:spacing w:val="-3"/>
              </w:rPr>
              <w:t>•</w:t>
            </w:r>
            <w:r w:rsidRPr="00DA3150">
              <w:rPr>
                <w:spacing w:val="-3"/>
              </w:rPr>
              <w:tab/>
              <w:t>затребование личного объяснения от работников Общества, включая любых должностных лиц, по вопросам, находящимся в компетенции Ревизионной комиссии (Ревизора);</w:t>
            </w:r>
          </w:p>
        </w:tc>
        <w:tc>
          <w:tcPr>
            <w:tcW w:w="6662" w:type="dxa"/>
          </w:tcPr>
          <w:p w:rsidR="00DA3150" w:rsidRPr="008968BB" w:rsidRDefault="00DA3150" w:rsidP="00DA3150">
            <w:pPr>
              <w:widowControl w:val="0"/>
              <w:numPr>
                <w:ilvl w:val="0"/>
                <w:numId w:val="8"/>
              </w:numPr>
              <w:snapToGrid w:val="0"/>
              <w:ind w:hanging="11"/>
              <w:jc w:val="both"/>
              <w:rPr>
                <w:lang w:eastAsia="ru-RU"/>
              </w:rPr>
            </w:pPr>
            <w:r w:rsidRPr="008968BB">
              <w:rPr>
                <w:lang w:eastAsia="ru-RU"/>
              </w:rPr>
              <w:t>анализ решений Общего собрания акционеров на их соответствие действующему законодательству Российской Федерации и Уставу Общества.</w:t>
            </w:r>
          </w:p>
          <w:p w:rsidR="00DA3150" w:rsidRPr="008968BB" w:rsidRDefault="00DA3150" w:rsidP="00DA3150">
            <w:pPr>
              <w:pStyle w:val="Normal1"/>
              <w:widowControl w:val="0"/>
              <w:tabs>
                <w:tab w:val="left" w:pos="540"/>
                <w:tab w:val="left" w:pos="9354"/>
              </w:tabs>
              <w:ind w:left="709" w:firstLine="0"/>
              <w:rPr>
                <w:szCs w:val="24"/>
              </w:rPr>
            </w:pPr>
            <w:r w:rsidRPr="008968BB">
              <w:rPr>
                <w:szCs w:val="24"/>
              </w:rPr>
              <w:t>Ревизионная комиссия имеет право:</w:t>
            </w:r>
          </w:p>
          <w:p w:rsidR="00DA3150" w:rsidRPr="008968BB" w:rsidRDefault="00DA3150" w:rsidP="00DA3150">
            <w:pPr>
              <w:widowControl w:val="0"/>
              <w:numPr>
                <w:ilvl w:val="0"/>
                <w:numId w:val="8"/>
              </w:numPr>
              <w:snapToGrid w:val="0"/>
              <w:ind w:hanging="11"/>
              <w:jc w:val="both"/>
              <w:rPr>
                <w:lang w:eastAsia="ru-RU"/>
              </w:rPr>
            </w:pPr>
            <w:r w:rsidRPr="008968BB">
              <w:rPr>
                <w:lang w:eastAsia="ru-RU"/>
              </w:rPr>
              <w:t>затребование личного объяснения от работников Общества, включая любых должностных лиц, по вопросам, находящимся в компетенции Ревизионной комиссии;</w:t>
            </w:r>
          </w:p>
          <w:p w:rsidR="00DA3150" w:rsidRPr="00DA3150" w:rsidRDefault="00DA3150" w:rsidP="00DA3150">
            <w:pPr>
              <w:widowControl w:val="0"/>
              <w:jc w:val="both"/>
              <w:rPr>
                <w:spacing w:val="-3"/>
              </w:rPr>
            </w:pPr>
          </w:p>
        </w:tc>
      </w:tr>
      <w:tr w:rsidR="004935A5" w:rsidRPr="00B94FCE" w:rsidTr="004935A5">
        <w:tc>
          <w:tcPr>
            <w:tcW w:w="1696" w:type="dxa"/>
          </w:tcPr>
          <w:p w:rsidR="004935A5" w:rsidRDefault="004935A5" w:rsidP="00B94FCE">
            <w:pPr>
              <w:jc w:val="center"/>
              <w:rPr>
                <w:b/>
                <w:bCs/>
                <w:lang w:val="en-US"/>
              </w:rPr>
            </w:pPr>
            <w:r>
              <w:rPr>
                <w:b/>
                <w:bCs/>
                <w:lang w:val="en-US"/>
              </w:rPr>
              <w:t>П. 14.5</w:t>
            </w:r>
          </w:p>
        </w:tc>
        <w:tc>
          <w:tcPr>
            <w:tcW w:w="6521" w:type="dxa"/>
          </w:tcPr>
          <w:p w:rsidR="004935A5" w:rsidRPr="00DA3150" w:rsidRDefault="004935A5" w:rsidP="00DA3150">
            <w:pPr>
              <w:widowControl w:val="0"/>
              <w:jc w:val="both"/>
              <w:rPr>
                <w:spacing w:val="-3"/>
              </w:rPr>
            </w:pPr>
            <w:r w:rsidRPr="004935A5">
              <w:rPr>
                <w:spacing w:val="-3"/>
              </w:rP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tc>
        <w:tc>
          <w:tcPr>
            <w:tcW w:w="6662" w:type="dxa"/>
          </w:tcPr>
          <w:p w:rsidR="004935A5" w:rsidRPr="008968BB" w:rsidRDefault="004935A5" w:rsidP="004935A5">
            <w:pPr>
              <w:widowControl w:val="0"/>
              <w:snapToGrid w:val="0"/>
              <w:jc w:val="both"/>
              <w:rPr>
                <w:lang w:eastAsia="ru-RU"/>
              </w:rPr>
            </w:pPr>
            <w:r w:rsidRPr="008968BB">
              <w:rPr>
                <w:spacing w:val="-3"/>
                <w:lang w:eastAsia="ru-RU"/>
              </w:rP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tc>
      </w:tr>
      <w:tr w:rsidR="004935A5" w:rsidRPr="00B94FCE" w:rsidTr="004935A5">
        <w:tc>
          <w:tcPr>
            <w:tcW w:w="1696" w:type="dxa"/>
          </w:tcPr>
          <w:p w:rsidR="004935A5" w:rsidRPr="004935A5" w:rsidRDefault="004935A5" w:rsidP="00B94FCE">
            <w:pPr>
              <w:jc w:val="center"/>
              <w:rPr>
                <w:b/>
                <w:bCs/>
                <w:lang w:val="en-US"/>
              </w:rPr>
            </w:pPr>
            <w:r>
              <w:rPr>
                <w:b/>
                <w:bCs/>
                <w:lang w:val="en-US"/>
              </w:rPr>
              <w:t>П. 14.7</w:t>
            </w:r>
          </w:p>
        </w:tc>
        <w:tc>
          <w:tcPr>
            <w:tcW w:w="6521" w:type="dxa"/>
          </w:tcPr>
          <w:p w:rsidR="004935A5" w:rsidRPr="00DA3150" w:rsidRDefault="004935A5" w:rsidP="00DA3150">
            <w:pPr>
              <w:widowControl w:val="0"/>
              <w:jc w:val="both"/>
              <w:rPr>
                <w:spacing w:val="-3"/>
              </w:rPr>
            </w:pPr>
            <w:r w:rsidRPr="004935A5">
              <w:rPr>
                <w:spacing w:val="-3"/>
              </w:rPr>
              <w:t>Ревизионная комиссия (Ревизор)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tc>
        <w:tc>
          <w:tcPr>
            <w:tcW w:w="6662" w:type="dxa"/>
          </w:tcPr>
          <w:p w:rsidR="004935A5" w:rsidRPr="008968BB" w:rsidRDefault="004935A5" w:rsidP="004935A5">
            <w:pPr>
              <w:widowControl w:val="0"/>
              <w:snapToGrid w:val="0"/>
              <w:jc w:val="both"/>
              <w:rPr>
                <w:lang w:eastAsia="ru-RU"/>
              </w:rPr>
            </w:pPr>
            <w:r w:rsidRPr="008968BB">
              <w:rPr>
                <w:spacing w:val="-3"/>
                <w:lang w:eastAsia="ru-RU"/>
              </w:rPr>
              <w:t>Ревизионная комиссия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tc>
      </w:tr>
      <w:tr w:rsidR="004935A5" w:rsidRPr="00B94FCE" w:rsidTr="004935A5">
        <w:tc>
          <w:tcPr>
            <w:tcW w:w="1696" w:type="dxa"/>
          </w:tcPr>
          <w:p w:rsidR="004935A5" w:rsidRPr="004935A5" w:rsidRDefault="004935A5" w:rsidP="00B94FCE">
            <w:pPr>
              <w:jc w:val="center"/>
              <w:rPr>
                <w:b/>
                <w:bCs/>
                <w:lang w:val="en-US"/>
              </w:rPr>
            </w:pPr>
            <w:r>
              <w:rPr>
                <w:b/>
                <w:bCs/>
                <w:lang w:val="en-US"/>
              </w:rPr>
              <w:t>П. 14.8</w:t>
            </w:r>
          </w:p>
        </w:tc>
        <w:tc>
          <w:tcPr>
            <w:tcW w:w="6521" w:type="dxa"/>
          </w:tcPr>
          <w:p w:rsidR="004935A5" w:rsidRPr="00DA3150" w:rsidRDefault="004935A5" w:rsidP="00DA3150">
            <w:pPr>
              <w:widowControl w:val="0"/>
              <w:jc w:val="both"/>
              <w:rPr>
                <w:spacing w:val="-3"/>
              </w:rPr>
            </w:pPr>
            <w:r w:rsidRPr="004935A5">
              <w:rPr>
                <w:spacing w:val="-3"/>
              </w:rPr>
              <w:t>Ч</w:t>
            </w:r>
            <w:r w:rsidRPr="004935A5">
              <w:rPr>
                <w:spacing w:val="-3"/>
              </w:rPr>
              <w:t>ленам Ревизионной комиссии (Ревизору) 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Совета директоров Общества</w:t>
            </w:r>
          </w:p>
        </w:tc>
        <w:tc>
          <w:tcPr>
            <w:tcW w:w="6662" w:type="dxa"/>
          </w:tcPr>
          <w:p w:rsidR="004935A5" w:rsidRPr="008968BB" w:rsidRDefault="004935A5" w:rsidP="004935A5">
            <w:pPr>
              <w:widowControl w:val="0"/>
              <w:snapToGrid w:val="0"/>
              <w:jc w:val="both"/>
              <w:rPr>
                <w:lang w:eastAsia="ru-RU"/>
              </w:rPr>
            </w:pPr>
            <w:r w:rsidRPr="008968BB">
              <w:rPr>
                <w:spacing w:val="-3"/>
                <w:lang w:eastAsia="ru-RU"/>
              </w:rPr>
              <w:t>Членам Ревизионной комиссии 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Совета директоров Общества</w:t>
            </w:r>
          </w:p>
        </w:tc>
      </w:tr>
      <w:tr w:rsidR="004935A5" w:rsidRPr="00B94FCE" w:rsidTr="004935A5">
        <w:tc>
          <w:tcPr>
            <w:tcW w:w="1696" w:type="dxa"/>
          </w:tcPr>
          <w:p w:rsidR="004935A5" w:rsidRDefault="004935A5" w:rsidP="00B94FCE">
            <w:pPr>
              <w:jc w:val="center"/>
              <w:rPr>
                <w:b/>
                <w:bCs/>
                <w:lang w:val="en-US"/>
              </w:rPr>
            </w:pPr>
            <w:r>
              <w:rPr>
                <w:b/>
                <w:bCs/>
                <w:lang w:val="en-US"/>
              </w:rPr>
              <w:t>П. 14.9</w:t>
            </w:r>
          </w:p>
        </w:tc>
        <w:tc>
          <w:tcPr>
            <w:tcW w:w="6521" w:type="dxa"/>
          </w:tcPr>
          <w:p w:rsidR="004935A5" w:rsidRPr="004935A5" w:rsidRDefault="004935A5" w:rsidP="004935A5">
            <w:pPr>
              <w:widowControl w:val="0"/>
              <w:jc w:val="both"/>
              <w:rPr>
                <w:spacing w:val="-3"/>
              </w:rPr>
            </w:pPr>
            <w:r w:rsidRPr="004935A5">
              <w:rPr>
                <w:spacing w:val="-3"/>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w:t>
            </w:r>
          </w:p>
          <w:p w:rsidR="004935A5" w:rsidRPr="004935A5" w:rsidRDefault="004935A5" w:rsidP="004935A5">
            <w:pPr>
              <w:widowControl w:val="0"/>
              <w:jc w:val="both"/>
              <w:rPr>
                <w:spacing w:val="-3"/>
              </w:rPr>
            </w:pPr>
            <w:r w:rsidRPr="004935A5">
              <w:rPr>
                <w:spacing w:val="-3"/>
              </w:rPr>
              <w:t>Размер оплаты услуг Аудитора определяется Общества</w:t>
            </w:r>
          </w:p>
        </w:tc>
        <w:tc>
          <w:tcPr>
            <w:tcW w:w="6662" w:type="dxa"/>
          </w:tcPr>
          <w:p w:rsidR="004935A5" w:rsidRPr="004935A5" w:rsidRDefault="004935A5" w:rsidP="004935A5">
            <w:pPr>
              <w:widowControl w:val="0"/>
              <w:jc w:val="both"/>
              <w:rPr>
                <w:spacing w:val="-3"/>
                <w:lang w:eastAsia="ru-RU"/>
              </w:rPr>
            </w:pPr>
            <w:r w:rsidRPr="004935A5">
              <w:rPr>
                <w:spacing w:val="-3"/>
                <w:lang w:eastAsia="ru-RU"/>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w:t>
            </w:r>
          </w:p>
          <w:p w:rsidR="004935A5" w:rsidRPr="008968BB" w:rsidRDefault="004935A5" w:rsidP="004935A5">
            <w:pPr>
              <w:widowControl w:val="0"/>
              <w:snapToGrid w:val="0"/>
              <w:jc w:val="both"/>
              <w:rPr>
                <w:spacing w:val="-3"/>
                <w:lang w:eastAsia="ru-RU"/>
              </w:rPr>
            </w:pPr>
            <w:r w:rsidRPr="008968BB">
              <w:rPr>
                <w:spacing w:val="-3"/>
                <w:lang w:eastAsia="ru-RU"/>
              </w:rPr>
              <w:t>Размер оплаты услуг Аудитора определяется</w:t>
            </w:r>
            <w:r>
              <w:rPr>
                <w:spacing w:val="-3"/>
                <w:lang w:eastAsia="ru-RU"/>
              </w:rPr>
              <w:t xml:space="preserve"> Советом </w:t>
            </w:r>
            <w:proofErr w:type="gramStart"/>
            <w:r>
              <w:rPr>
                <w:spacing w:val="-3"/>
                <w:lang w:eastAsia="ru-RU"/>
              </w:rPr>
              <w:t>директоров</w:t>
            </w:r>
            <w:r w:rsidRPr="008968BB">
              <w:rPr>
                <w:spacing w:val="-3"/>
                <w:lang w:eastAsia="ru-RU"/>
              </w:rPr>
              <w:t xml:space="preserve">  Общества</w:t>
            </w:r>
            <w:proofErr w:type="gramEnd"/>
          </w:p>
        </w:tc>
      </w:tr>
      <w:tr w:rsidR="004935A5" w:rsidRPr="00B94FCE" w:rsidTr="004935A5">
        <w:tc>
          <w:tcPr>
            <w:tcW w:w="1696" w:type="dxa"/>
          </w:tcPr>
          <w:p w:rsidR="004935A5" w:rsidRDefault="004935A5" w:rsidP="00B94FCE">
            <w:pPr>
              <w:jc w:val="center"/>
              <w:rPr>
                <w:b/>
                <w:bCs/>
                <w:lang w:val="en-US"/>
              </w:rPr>
            </w:pPr>
            <w:r>
              <w:rPr>
                <w:b/>
                <w:bCs/>
                <w:lang w:val="en-US"/>
              </w:rPr>
              <w:t>П. 14.11</w:t>
            </w:r>
          </w:p>
        </w:tc>
        <w:tc>
          <w:tcPr>
            <w:tcW w:w="6521" w:type="dxa"/>
          </w:tcPr>
          <w:p w:rsidR="004935A5" w:rsidRPr="004935A5" w:rsidRDefault="004935A5" w:rsidP="00DA3150">
            <w:pPr>
              <w:widowControl w:val="0"/>
              <w:jc w:val="both"/>
              <w:rPr>
                <w:spacing w:val="-3"/>
              </w:rPr>
            </w:pPr>
            <w:r w:rsidRPr="004935A5">
              <w:rPr>
                <w:spacing w:val="-3"/>
              </w:rPr>
              <w:t>По итогам проверки финансово-хозяйственной деятельности Общества Ревизионная комиссия (Ревизор) и Аудитор Общества составляют заключение, в котором должны содержаться:</w:t>
            </w:r>
          </w:p>
        </w:tc>
        <w:tc>
          <w:tcPr>
            <w:tcW w:w="6662" w:type="dxa"/>
          </w:tcPr>
          <w:p w:rsidR="004935A5" w:rsidRPr="008968BB" w:rsidRDefault="004935A5" w:rsidP="004935A5">
            <w:pPr>
              <w:widowControl w:val="0"/>
              <w:jc w:val="both"/>
              <w:rPr>
                <w:spacing w:val="-3"/>
                <w:lang w:eastAsia="ru-RU"/>
              </w:rPr>
            </w:pPr>
            <w:r w:rsidRPr="004935A5">
              <w:rPr>
                <w:spacing w:val="-3"/>
                <w:lang w:eastAsia="ru-RU"/>
              </w:rPr>
              <w:t xml:space="preserve">По итогам проверки финансово-хозяйственной деятельности Общества Ревизионная </w:t>
            </w:r>
            <w:proofErr w:type="gramStart"/>
            <w:r w:rsidRPr="004935A5">
              <w:rPr>
                <w:spacing w:val="-3"/>
                <w:lang w:eastAsia="ru-RU"/>
              </w:rPr>
              <w:t>комиссия  и</w:t>
            </w:r>
            <w:proofErr w:type="gramEnd"/>
            <w:r w:rsidRPr="004935A5">
              <w:rPr>
                <w:spacing w:val="-3"/>
                <w:lang w:eastAsia="ru-RU"/>
              </w:rPr>
              <w:t xml:space="preserve"> Аудитор Общества составляют заключение, в котором должны содержаться:</w:t>
            </w:r>
          </w:p>
        </w:tc>
      </w:tr>
    </w:tbl>
    <w:p w:rsidR="00B94FCE" w:rsidRPr="00B94FCE" w:rsidRDefault="00B94FCE" w:rsidP="00B94FCE">
      <w:pPr>
        <w:tabs>
          <w:tab w:val="left" w:pos="1470"/>
        </w:tabs>
      </w:pPr>
    </w:p>
    <w:sectPr w:rsidR="00B94FCE" w:rsidRPr="00B94FCE" w:rsidSect="00B94FCE">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3C166794"/>
    <w:multiLevelType w:val="hybridMultilevel"/>
    <w:tmpl w:val="AB12679E"/>
    <w:lvl w:ilvl="0" w:tplc="992CA28E">
      <w:start w:val="33"/>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15:restartNumberingAfterBreak="0">
    <w:nsid w:val="3FA13B03"/>
    <w:multiLevelType w:val="multilevel"/>
    <w:tmpl w:val="8DA0B536"/>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2DD37BB"/>
    <w:multiLevelType w:val="hybridMultilevel"/>
    <w:tmpl w:val="AB12679E"/>
    <w:lvl w:ilvl="0" w:tplc="992CA28E">
      <w:start w:val="33"/>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5"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6CDF7B51"/>
    <w:multiLevelType w:val="multilevel"/>
    <w:tmpl w:val="5F90979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CE"/>
    <w:rsid w:val="001E0A98"/>
    <w:rsid w:val="00225936"/>
    <w:rsid w:val="00391E04"/>
    <w:rsid w:val="004240B3"/>
    <w:rsid w:val="0045754B"/>
    <w:rsid w:val="004935A5"/>
    <w:rsid w:val="00592D57"/>
    <w:rsid w:val="0092150E"/>
    <w:rsid w:val="00B94FCE"/>
    <w:rsid w:val="00C64185"/>
    <w:rsid w:val="00C74B33"/>
    <w:rsid w:val="00CB29BD"/>
    <w:rsid w:val="00CB7E04"/>
    <w:rsid w:val="00CF775D"/>
    <w:rsid w:val="00D97373"/>
    <w:rsid w:val="00DA3150"/>
    <w:rsid w:val="00EF2AE8"/>
    <w:rsid w:val="00F7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8A9C"/>
  <w15:chartTrackingRefBased/>
  <w15:docId w15:val="{631DA349-86AD-497A-96FA-8AAE3FE0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3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B94FCE"/>
    <w:rPr>
      <w:rFonts w:ascii="Verdana" w:eastAsia="Verdana" w:hAnsi="Verdana" w:cs="Verdana"/>
      <w:sz w:val="19"/>
      <w:szCs w:val="19"/>
      <w:shd w:val="clear" w:color="auto" w:fill="FFFFFF"/>
    </w:rPr>
  </w:style>
  <w:style w:type="paragraph" w:customStyle="1" w:styleId="20">
    <w:name w:val="Основной текст (2)"/>
    <w:basedOn w:val="a"/>
    <w:link w:val="2"/>
    <w:rsid w:val="00B94FCE"/>
    <w:pPr>
      <w:widowControl w:val="0"/>
      <w:shd w:val="clear" w:color="auto" w:fill="FFFFFF"/>
      <w:spacing w:after="0" w:line="264" w:lineRule="exact"/>
    </w:pPr>
    <w:rPr>
      <w:rFonts w:ascii="Verdana" w:eastAsia="Verdana" w:hAnsi="Verdana" w:cs="Verdana"/>
      <w:sz w:val="19"/>
      <w:szCs w:val="19"/>
    </w:rPr>
  </w:style>
  <w:style w:type="paragraph" w:styleId="a4">
    <w:name w:val="List Paragraph"/>
    <w:basedOn w:val="a"/>
    <w:uiPriority w:val="34"/>
    <w:qFormat/>
    <w:rsid w:val="001E0A98"/>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F727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27E5"/>
    <w:rPr>
      <w:rFonts w:ascii="Segoe UI" w:hAnsi="Segoe UI" w:cs="Segoe UI"/>
      <w:sz w:val="18"/>
      <w:szCs w:val="18"/>
    </w:rPr>
  </w:style>
  <w:style w:type="character" w:styleId="a7">
    <w:name w:val="Hyperlink"/>
    <w:basedOn w:val="a0"/>
    <w:uiPriority w:val="99"/>
    <w:rsid w:val="0092150E"/>
    <w:rPr>
      <w:color w:val="0000FF"/>
      <w:u w:val="single"/>
    </w:rPr>
  </w:style>
  <w:style w:type="paragraph" w:customStyle="1" w:styleId="Normal1">
    <w:name w:val="Normal1"/>
    <w:rsid w:val="0092150E"/>
    <w:pPr>
      <w:snapToGrid w:val="0"/>
      <w:spacing w:after="0" w:line="24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Юлия</dc:creator>
  <cp:keywords/>
  <dc:description/>
  <cp:lastModifiedBy>Абрамова Юлия</cp:lastModifiedBy>
  <cp:revision>12</cp:revision>
  <dcterms:created xsi:type="dcterms:W3CDTF">2020-06-08T22:57:00Z</dcterms:created>
  <dcterms:modified xsi:type="dcterms:W3CDTF">2023-05-02T02:10:00Z</dcterms:modified>
</cp:coreProperties>
</file>