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3C8984" w14:textId="77777777" w:rsidR="00943938" w:rsidRPr="009B0BC2" w:rsidRDefault="00943938" w:rsidP="00943938">
      <w:pPr>
        <w:rPr>
          <w:rFonts w:ascii="Times New Roman" w:hAnsi="Times New Roman" w:cs="Times New Roman"/>
        </w:rPr>
      </w:pPr>
    </w:p>
    <w:p w14:paraId="24078CE7" w14:textId="77777777" w:rsidR="00943938" w:rsidRPr="00943938" w:rsidRDefault="00943938" w:rsidP="00943938">
      <w:pPr>
        <w:jc w:val="center"/>
        <w:rPr>
          <w:rFonts w:ascii="Times New Roman" w:hAnsi="Times New Roman" w:cs="Times New Roman"/>
          <w:b/>
          <w:i/>
        </w:rPr>
      </w:pPr>
    </w:p>
    <w:p w14:paraId="7A353007" w14:textId="77777777" w:rsidR="00C1713F" w:rsidRDefault="00C1713F" w:rsidP="00C1713F">
      <w:pPr>
        <w:spacing w:after="60" w:line="276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Заключение Службы внутреннего аудита ПАО «ГТМ» по результатам оценки надежности и эффективности системы управления рисками и внутреннего контроля и, эффективности корпоративного управления Общества.</w:t>
      </w:r>
    </w:p>
    <w:p w14:paraId="658066B7" w14:textId="77777777" w:rsidR="00C1713F" w:rsidRDefault="00C1713F" w:rsidP="00C1713F">
      <w:pPr>
        <w:spacing w:after="60"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09F16329" w14:textId="77777777" w:rsidR="00C1713F" w:rsidRDefault="00C1713F" w:rsidP="00C1713F">
      <w:pPr>
        <w:spacing w:after="60"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Основание для подготовки заключения Службы внутреннего аудита </w:t>
      </w:r>
    </w:p>
    <w:p w14:paraId="0C75C5DC" w14:textId="77777777" w:rsidR="00C1713F" w:rsidRDefault="00C1713F" w:rsidP="00C1713F">
      <w:pPr>
        <w:spacing w:after="6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D34319C" w14:textId="77777777" w:rsidR="00C1713F" w:rsidRDefault="00C1713F" w:rsidP="00C1713F">
      <w:pPr>
        <w:spacing w:after="6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Обязанность по осуществлению внутреннего аудита в Публичном акционерном общества “ГЛОБАЛТРАК МЕНЕДЖМЕНТ” (далее – ПАО “ГТМ”, Общество) возложена на Службу внутреннего аудита Общества, действующую на основании Устава Общества, </w:t>
      </w:r>
      <w:bookmarkStart w:id="0" w:name="_Hlk167384060"/>
      <w:r>
        <w:rPr>
          <w:rFonts w:ascii="Times New Roman" w:hAnsi="Times New Roman" w:cs="Times New Roman"/>
          <w:sz w:val="24"/>
          <w:szCs w:val="24"/>
        </w:rPr>
        <w:t>Положения о службе внутреннего аудита, утвержденного Советом директоров Общества (Протокол б/н от 05.09.2017 г</w:t>
      </w:r>
      <w:bookmarkEnd w:id="0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65FF959" w14:textId="77777777" w:rsidR="00C1713F" w:rsidRDefault="00C1713F" w:rsidP="00C1713F">
      <w:pPr>
        <w:spacing w:after="6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июля 2025 года функционал по внутреннему аудиту передан на основании договора по оказанию услуг в АО «МОНОПОЛИЯ».</w:t>
      </w:r>
    </w:p>
    <w:p w14:paraId="5AEDB6B4" w14:textId="77777777" w:rsidR="00C1713F" w:rsidRDefault="00C1713F" w:rsidP="00C1713F">
      <w:pPr>
        <w:spacing w:after="6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Основной целью деятельности Службы внутреннего аудита является обеспечение эффективности функционирования всех видов деятельности на всех уровнях управления Общества, а также защита законных интересов Общества и его акционеров. Служба внутреннего аудита осуществляет свою деятельность с соблюдением принципов беспристрастности, честности, объективности, независимости и профессиональной компетентности.</w:t>
      </w:r>
    </w:p>
    <w:p w14:paraId="6C86FC77" w14:textId="77777777" w:rsidR="00C1713F" w:rsidRDefault="00C1713F" w:rsidP="00C1713F">
      <w:pPr>
        <w:spacing w:after="6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Настоящий Отчет подготовлен в соответствии с требованиями Федерального закона от 26.12.1995 № 208-ФЗ «Об акционерных обществах», рекомендациями Банка России (письмо от 01.10.2020 № ИН-06-28/143) «О рекомендациях по организации управления рисками, внутреннего контроля, внутреннего аудита, работы комитета совета директоров (наблюдательного совета) по аудиту в публичных акционерных обществах», а также во исполнение положений Положения о службе внутреннего аудитора, утвержденного Советом директоров Общества (Протокол б/н от 05.09.2017 г.).</w:t>
      </w:r>
    </w:p>
    <w:p w14:paraId="119062B6" w14:textId="77777777" w:rsidR="00C1713F" w:rsidRDefault="00C1713F" w:rsidP="00C1713F">
      <w:pPr>
        <w:spacing w:after="6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Оценка произведена для определения надежности и эффективности системы управления рисками и внутреннего контроля, (далее – СУР И ВК), эффективности корпоративного управления. </w:t>
      </w:r>
    </w:p>
    <w:p w14:paraId="6B278ECC" w14:textId="77777777" w:rsidR="00C1713F" w:rsidRDefault="00C1713F" w:rsidP="00C1713F">
      <w:pPr>
        <w:spacing w:after="6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Исходя из направленности СУРиВК на поддержку достижения поставленных перед Обществом целей, можно выделить следующие задачи:</w:t>
      </w:r>
    </w:p>
    <w:p w14:paraId="679E082A" w14:textId="77777777" w:rsidR="00C1713F" w:rsidRDefault="00C1713F" w:rsidP="00C1713F">
      <w:pPr>
        <w:pStyle w:val="a3"/>
        <w:numPr>
          <w:ilvl w:val="0"/>
          <w:numId w:val="3"/>
        </w:numPr>
        <w:spacing w:after="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обеспечение разумной уверенности в достижении целей Общества;</w:t>
      </w:r>
    </w:p>
    <w:p w14:paraId="34AC2E5E" w14:textId="77777777" w:rsidR="00C1713F" w:rsidRDefault="00C1713F" w:rsidP="00C1713F">
      <w:pPr>
        <w:pStyle w:val="a3"/>
        <w:numPr>
          <w:ilvl w:val="0"/>
          <w:numId w:val="3"/>
        </w:numPr>
        <w:spacing w:after="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обеспечение эффективности финансово-хозяйственной деятельности и экономичного использования ресурсов;</w:t>
      </w:r>
    </w:p>
    <w:p w14:paraId="4C7B9055" w14:textId="77777777" w:rsidR="00C1713F" w:rsidRDefault="00C1713F" w:rsidP="00C1713F">
      <w:pPr>
        <w:pStyle w:val="a3"/>
        <w:numPr>
          <w:ilvl w:val="0"/>
          <w:numId w:val="3"/>
        </w:numPr>
        <w:spacing w:after="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выявление и анализ рисков, управление такими рисками;</w:t>
      </w:r>
    </w:p>
    <w:p w14:paraId="3B5CF1F5" w14:textId="77777777" w:rsidR="00C1713F" w:rsidRDefault="00C1713F" w:rsidP="00C1713F">
      <w:pPr>
        <w:pStyle w:val="a3"/>
        <w:numPr>
          <w:ilvl w:val="0"/>
          <w:numId w:val="3"/>
        </w:numPr>
        <w:spacing w:after="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снижение числа непредвиденных событий в хозяйственной деятельности Общества до уровня не выше уровня риск-аппетита;</w:t>
      </w:r>
    </w:p>
    <w:p w14:paraId="77BB1F1D" w14:textId="77777777" w:rsidR="00C1713F" w:rsidRDefault="00C1713F" w:rsidP="00C1713F">
      <w:pPr>
        <w:pStyle w:val="a3"/>
        <w:numPr>
          <w:ilvl w:val="0"/>
          <w:numId w:val="3"/>
        </w:numPr>
        <w:spacing w:after="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обеспечение сохранности активов Общества;</w:t>
      </w:r>
    </w:p>
    <w:p w14:paraId="60A596F1" w14:textId="77777777" w:rsidR="00C1713F" w:rsidRDefault="00C1713F" w:rsidP="00C1713F">
      <w:pPr>
        <w:pStyle w:val="a3"/>
        <w:numPr>
          <w:ilvl w:val="0"/>
          <w:numId w:val="3"/>
        </w:numPr>
        <w:spacing w:after="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обеспечение полноты и достоверности бухгалтерской (финансовой), управленческой и другой отчетности;</w:t>
      </w:r>
    </w:p>
    <w:p w14:paraId="4B9C7BAF" w14:textId="77777777" w:rsidR="00C1713F" w:rsidRDefault="00C1713F" w:rsidP="00C1713F">
      <w:pPr>
        <w:pStyle w:val="a3"/>
        <w:numPr>
          <w:ilvl w:val="0"/>
          <w:numId w:val="3"/>
        </w:numPr>
        <w:spacing w:after="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своевременная адаптация Общества к изменениям во внутренней и внешней среде;</w:t>
      </w:r>
    </w:p>
    <w:p w14:paraId="4D41C423" w14:textId="77777777" w:rsidR="00C1713F" w:rsidRDefault="00C1713F" w:rsidP="00C1713F">
      <w:pPr>
        <w:pStyle w:val="a3"/>
        <w:numPr>
          <w:ilvl w:val="0"/>
          <w:numId w:val="3"/>
        </w:numPr>
        <w:spacing w:after="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контроль за соблюдением законодательства, а также внутренних политик, регламентов и процедур Общества.</w:t>
      </w:r>
    </w:p>
    <w:p w14:paraId="6F0E4B34" w14:textId="77777777" w:rsidR="00C1713F" w:rsidRDefault="00C1713F" w:rsidP="00C1713F">
      <w:pPr>
        <w:spacing w:after="6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Оценка эффективности системы внутреннего контроля, системы управления рисками осуществляется путем оценки соответствия корпоративного управления принципам и рекомендациям, заложенным в Кодексе корпоративного управления, Правилах листинга и лучших корпоративных практиках. Проблемы (риски) управления деятельностью выявляются. Система управления рисками интегрирована в процессы планирования и принятия решений. Обеспечиваются мониторинг выполнения и оценка эффективности организации используемых в Обществе процессов. При выявлении низкой эффективности реализуемых процессов обеспечивается их оптимизация. Процессы находятся в стадии непрерывного совершенствования.</w:t>
      </w:r>
    </w:p>
    <w:p w14:paraId="1267F797" w14:textId="77777777" w:rsidR="00C1713F" w:rsidRDefault="00C1713F" w:rsidP="00C1713F">
      <w:pPr>
        <w:spacing w:after="6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этом события отчетного периода продемонстрировали, что даже при формально эффективной организации внутренних процессов масштаб внешних макроэкономических шоков (беспрецедентный рост ключевой ставки, структурный отраслевой кризис) в сочетании с определенными внутренними факторами (концентрация кредитного риска на связанных сторонах) способен полностью нивелировать возможности любой системы контроля. Это подчеркивает необходимость смещения фокуса с текущего операционного контроля на стратегическое управление рисками и стресс-тестирование бизнес-модели.</w:t>
      </w:r>
    </w:p>
    <w:p w14:paraId="39920C56" w14:textId="77777777" w:rsidR="00C1713F" w:rsidRDefault="00C1713F" w:rsidP="00C1713F">
      <w:pPr>
        <w:spacing w:after="6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Целями проведения внутреннего аудита по итогам 2025 года являлись:</w:t>
      </w:r>
    </w:p>
    <w:p w14:paraId="32F006BA" w14:textId="77777777" w:rsidR="00C1713F" w:rsidRDefault="00C1713F" w:rsidP="00C1713F">
      <w:pPr>
        <w:pStyle w:val="a3"/>
        <w:numPr>
          <w:ilvl w:val="0"/>
          <w:numId w:val="4"/>
        </w:numPr>
        <w:spacing w:after="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Оценка эффективности системы управления рисками и внутреннего контроля;</w:t>
      </w:r>
    </w:p>
    <w:p w14:paraId="3D3ECBFC" w14:textId="77777777" w:rsidR="00C1713F" w:rsidRDefault="00C1713F" w:rsidP="00C1713F">
      <w:pPr>
        <w:pStyle w:val="a3"/>
        <w:numPr>
          <w:ilvl w:val="0"/>
          <w:numId w:val="4"/>
        </w:numPr>
        <w:spacing w:after="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Оценка корпоративного управления.</w:t>
      </w:r>
    </w:p>
    <w:p w14:paraId="2D246827" w14:textId="77777777" w:rsidR="00C1713F" w:rsidRDefault="00C1713F" w:rsidP="00C1713F">
      <w:pPr>
        <w:spacing w:after="6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Объектами внутреннего аудита по итогам 2025 года являлись: деятельность Общества в целом, деятельность структурных подразделений, а также отдельные программы, проекты, бизнес-процессы и операции, осуществляемые Обществом.</w:t>
      </w:r>
    </w:p>
    <w:p w14:paraId="68BC5F55" w14:textId="77777777" w:rsidR="00C1713F" w:rsidRDefault="00C1713F" w:rsidP="00C1713F">
      <w:pPr>
        <w:spacing w:after="6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DA21E71" w14:textId="77777777" w:rsidR="00C1713F" w:rsidRDefault="00C1713F" w:rsidP="00C1713F">
      <w:pPr>
        <w:spacing w:after="6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Результаты внутреннего аудита</w:t>
      </w:r>
    </w:p>
    <w:p w14:paraId="6F76915E" w14:textId="77777777" w:rsidR="00C1713F" w:rsidRDefault="00C1713F" w:rsidP="00C1713F">
      <w:pPr>
        <w:spacing w:after="60"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Результаты оценки эффективности системы управления рисками и внутреннего контроля:</w:t>
      </w:r>
    </w:p>
    <w:p w14:paraId="32B3A575" w14:textId="77777777" w:rsidR="00C1713F" w:rsidRDefault="00C1713F" w:rsidP="00C1713F">
      <w:pPr>
        <w:spacing w:after="6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Управление рисками и внутренний контроль осуществляются на всех уровнях и подразумевают вовлечение всех органов управления и работников Общества (участники СУРиВК), роли и функции которых разграничены и в то же время дополняют друг друга.</w:t>
      </w:r>
    </w:p>
    <w:p w14:paraId="30DF38F8" w14:textId="77777777" w:rsidR="00C1713F" w:rsidRDefault="00C1713F" w:rsidP="00C1713F">
      <w:pPr>
        <w:spacing w:after="6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Система органов управления рисками и внутреннего контроля Общества состоит из следующих уровней:</w:t>
      </w:r>
    </w:p>
    <w:p w14:paraId="7E995629" w14:textId="77777777" w:rsidR="00C1713F" w:rsidRDefault="00C1713F" w:rsidP="00C1713F">
      <w:pPr>
        <w:spacing w:after="6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Стратегический уровень – Совет директоров Общества, который утверждает правила формирования и функционирования системы управления рисками и внутреннего контроля в Обществе.</w:t>
      </w:r>
    </w:p>
    <w:p w14:paraId="5B8B5B74" w14:textId="77777777" w:rsidR="00C1713F" w:rsidRDefault="00C1713F" w:rsidP="00C1713F">
      <w:pPr>
        <w:spacing w:after="6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Операционный уровень – Единоличный исполнительный орган Общества, обеспечивающий организацию функционирования и непрерывный мониторинг эффективности системы управления рисками и внутреннего контроля в Обществе.</w:t>
      </w:r>
    </w:p>
    <w:p w14:paraId="0C405506" w14:textId="77777777" w:rsidR="00C1713F" w:rsidRDefault="00C1713F" w:rsidP="00C1713F">
      <w:pPr>
        <w:spacing w:after="6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Контрольный уровень – Ревизионная комиссия Общества, Служба внутреннего аудита, руководители подразделений и сотрудники Общества, ответственные за функционирование системы внутреннего контроля и управления рисками.</w:t>
      </w:r>
    </w:p>
    <w:p w14:paraId="1B0A7F87" w14:textId="77777777" w:rsidR="00C1713F" w:rsidRDefault="00C1713F" w:rsidP="00C1713F">
      <w:pPr>
        <w:spacing w:after="6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Система управления рисками и внутреннего контроля в Обществе представляет собой координирование деятельности в целях управления и контроля рисков, повышения эффективности деятельности и достижения Обществом поставленных целей. Это процесс, направленный на обеспечение разумной гарантии достижения стратегических целей Общества, операционной деятельности Общества, соблюдения требований действующего законодательства и предоставления достоверной отчетности. </w:t>
      </w:r>
    </w:p>
    <w:p w14:paraId="7CCB284B" w14:textId="77777777" w:rsidR="00C1713F" w:rsidRDefault="00C1713F" w:rsidP="00C1713F">
      <w:pPr>
        <w:spacing w:after="6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Информация о рисках, которым подвержено Общество в процессе своей деятельности подробно приведена в Годовом отчете Общества за 2025 год. </w:t>
      </w:r>
    </w:p>
    <w:p w14:paraId="18D5C5AD" w14:textId="77777777" w:rsidR="00C1713F" w:rsidRDefault="00C1713F" w:rsidP="00C1713F">
      <w:pPr>
        <w:spacing w:after="60"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5C0D3E36" w14:textId="77777777" w:rsidR="00C1713F" w:rsidRDefault="00C1713F" w:rsidP="00C1713F">
      <w:pPr>
        <w:spacing w:after="60"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Результаты аудита процесса «Документы и документооборот Группы»:</w:t>
      </w:r>
    </w:p>
    <w:p w14:paraId="03187896" w14:textId="77777777" w:rsidR="00C1713F" w:rsidRDefault="00C1713F" w:rsidP="00C1713F">
      <w:pPr>
        <w:spacing w:after="6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2025 году проведен аудит процесса «Документы и документооборот Группы» в части организации документооборота Группы, приема и обработки входящей корреспонденции, подготовки и отправки исходящей корреспонденции, работы сотрудников с внутренними документами, организации архивного делопроизводства. Проверка проводилась выборочно. </w:t>
      </w:r>
    </w:p>
    <w:p w14:paraId="5CD6B33C" w14:textId="77777777" w:rsidR="00C1713F" w:rsidRDefault="00C1713F" w:rsidP="00C1713F">
      <w:pPr>
        <w:spacing w:after="6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Выявленные недостатки и нарушения отражены в отчете. По факту выявленных недостатков разработан план компенсирующих мероприятий.  </w:t>
      </w:r>
    </w:p>
    <w:p w14:paraId="33A6ED1A" w14:textId="77777777" w:rsidR="00C1713F" w:rsidRDefault="00C1713F" w:rsidP="00C1713F">
      <w:pPr>
        <w:spacing w:after="6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Результаты проверок подтверждают, что в целом системы управления рисками, внутреннего контроля и корпоративного управления функционируют должным образом во всех существенных отношениях, отвечают масштабам и характеру деятельности Общества. </w:t>
      </w:r>
    </w:p>
    <w:p w14:paraId="25E2C2EF" w14:textId="77777777" w:rsidR="00C1713F" w:rsidRDefault="00C1713F" w:rsidP="00C1713F">
      <w:pPr>
        <w:spacing w:after="6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Необходимо осуществлять дальнейшее развитие систем управления рисками, внутреннего контроля и корпоративного управления на основе лучших практик.</w:t>
      </w:r>
    </w:p>
    <w:p w14:paraId="075CFF0E" w14:textId="77777777" w:rsidR="00C1713F" w:rsidRDefault="00C1713F" w:rsidP="00C1713F">
      <w:pPr>
        <w:spacing w:after="6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B1605B" w14:textId="77777777" w:rsidR="00C1713F" w:rsidRDefault="00C1713F" w:rsidP="00C1713F">
      <w:pPr>
        <w:spacing w:after="60"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Результаты оценки корпоративного управления:</w:t>
      </w:r>
    </w:p>
    <w:p w14:paraId="50CA333D" w14:textId="77777777" w:rsidR="00C1713F" w:rsidRDefault="00C1713F" w:rsidP="00C1713F">
      <w:pPr>
        <w:spacing w:after="6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Оценка соблюдения принципов корпоративного управления, закрепленных Кодексом корпоративного управления, проводилась в соответствии с формой Отчета о соблюдении принципов и рекомендаций Кодекса корпоративного управления, включенного в состав Годового отчета ПАО «ГТМ» за 2025 год. Соблюдение принципов корпоративного управления осуществлялось путем анализа и сопоставления Устава, внутренних документов Общества, а также имеющейся и доступной информации, с принципами и рекомендациями Кодекса корпоративного управления. Результаты проверки подтверждают, что Обществом соблюдается значительная часть рекомендаций Кодекса корпоративного управления, при это ведется работа по совершенствованию системы корпоративного управления в Обществе.</w:t>
      </w:r>
    </w:p>
    <w:p w14:paraId="781C7D21" w14:textId="77777777" w:rsidR="00C1713F" w:rsidRDefault="00C1713F" w:rsidP="00C1713F">
      <w:pPr>
        <w:spacing w:after="6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Система корпоративного управления нацелена на обеспечение прав и интересов акционеров, повышение эффективности ведения бизнеса, увеличение уровня прозрачности инвестиционной привлекательности Общества, сохранение и приумножение акционерного капитала.</w:t>
      </w:r>
    </w:p>
    <w:p w14:paraId="77F9503F" w14:textId="77777777" w:rsidR="00C1713F" w:rsidRDefault="00C1713F" w:rsidP="00C1713F">
      <w:pPr>
        <w:spacing w:after="6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2888B6E" w14:textId="77777777" w:rsidR="00C1713F" w:rsidRDefault="00C1713F" w:rsidP="00C1713F">
      <w:pPr>
        <w:spacing w:after="6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Результаты проверок подтверждают, что в целом системы управления рисками, внутреннего контроля и корпоративного управления функционируют должным образом во всех существенных отношениях, отвечают масштабам и характеру деятельности Общества. По итогам проверки отмечено, что в Обществе имеются и функционируют средства </w:t>
      </w:r>
      <w:r>
        <w:rPr>
          <w:rFonts w:ascii="Times New Roman" w:hAnsi="Times New Roman" w:cs="Times New Roman"/>
          <w:sz w:val="24"/>
          <w:szCs w:val="24"/>
        </w:rPr>
        <w:lastRenderedPageBreak/>
        <w:t>контроля, необходимые для соблюдения принципов управления рисками. Вместе с тем, реализовавшийся в отчетном году кризис стал следствием беспрецедентного сочетания негативных факторов:</w:t>
      </w:r>
    </w:p>
    <w:p w14:paraId="3B59CF42" w14:textId="77777777" w:rsidR="00C1713F" w:rsidRDefault="00C1713F" w:rsidP="00C1713F">
      <w:pPr>
        <w:pStyle w:val="a3"/>
        <w:numPr>
          <w:ilvl w:val="0"/>
          <w:numId w:val="5"/>
        </w:numPr>
        <w:spacing w:after="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резкого ухудшения макроэкономической среды, включая длительное удержание ключевой ставки на уровне 21% и последующее медленное ее снижение;</w:t>
      </w:r>
    </w:p>
    <w:p w14:paraId="7F70D7B6" w14:textId="77777777" w:rsidR="00C1713F" w:rsidRDefault="00C1713F" w:rsidP="00C1713F">
      <w:pPr>
        <w:pStyle w:val="a3"/>
        <w:numPr>
          <w:ilvl w:val="0"/>
          <w:numId w:val="5"/>
        </w:numPr>
        <w:spacing w:after="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системного отраслевого спада, выразившегося в падении тарифов на фоне роста себестоимости перевозок;</w:t>
      </w:r>
    </w:p>
    <w:p w14:paraId="27105EEC" w14:textId="77777777" w:rsidR="00C1713F" w:rsidRDefault="00C1713F" w:rsidP="00C1713F">
      <w:pPr>
        <w:pStyle w:val="a3"/>
        <w:numPr>
          <w:ilvl w:val="0"/>
          <w:numId w:val="5"/>
        </w:numPr>
        <w:spacing w:after="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повышенной концентрации кредитного риска, обусловленной сложившейся операционной моделью, при которой основным заказчиком стали связанные стороны внутри Группы.</w:t>
      </w:r>
    </w:p>
    <w:p w14:paraId="3A165CAD" w14:textId="77777777" w:rsidR="00C1713F" w:rsidRDefault="00C1713F" w:rsidP="00C1713F">
      <w:pPr>
        <w:spacing w:after="6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Данное сочетание факторов не было в полной мере учтено в сценарных прогнозах, что ограничило способность системы управления рисками своевременно сигнализировать о возможности одномоментной реализации нескольких взаимосвязанных угроз.</w:t>
      </w:r>
    </w:p>
    <w:p w14:paraId="06EE23A1" w14:textId="77777777" w:rsidR="00C1713F" w:rsidRDefault="00C1713F" w:rsidP="00C1713F">
      <w:pPr>
        <w:spacing w:after="6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связи с этим ключевым выводом для дальнейшего развития систем управления рисками и внутреннего контроля является необходимость их донастройки с акцентом на углубленный сценарный анализ, стресс-тестирование бизнес-модели и совершенствование инструментов мониторинга риска концентрации.</w:t>
      </w:r>
    </w:p>
    <w:p w14:paraId="62E6B308" w14:textId="77777777" w:rsidR="0004124C" w:rsidRDefault="0004124C"/>
    <w:p w14:paraId="476F2068" w14:textId="77777777" w:rsidR="0004124C" w:rsidRDefault="0004124C"/>
    <w:p w14:paraId="0D3B2235" w14:textId="77777777" w:rsidR="0004124C" w:rsidRDefault="0004124C"/>
    <w:p w14:paraId="6A93C899" w14:textId="72C4AC81" w:rsidR="009B4B3A" w:rsidRDefault="00C1713F" w:rsidP="009B4B3A">
      <w:r>
        <w:rPr>
          <w:rFonts w:ascii="Times New Roman" w:hAnsi="Times New Roman" w:cs="Times New Roman"/>
          <w:bCs/>
        </w:rPr>
        <w:t>АО «МОНОПОЛИЯ»</w:t>
      </w:r>
      <w:bookmarkStart w:id="1" w:name="_GoBack"/>
      <w:bookmarkEnd w:id="1"/>
    </w:p>
    <w:sectPr w:rsidR="009B4B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44216E"/>
    <w:multiLevelType w:val="multilevel"/>
    <w:tmpl w:val="8AC2CE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1" w15:restartNumberingAfterBreak="0">
    <w:nsid w:val="169E63FE"/>
    <w:multiLevelType w:val="hybridMultilevel"/>
    <w:tmpl w:val="82F0CA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AF5E38"/>
    <w:multiLevelType w:val="hybridMultilevel"/>
    <w:tmpl w:val="CC86DE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45562F"/>
    <w:multiLevelType w:val="hybridMultilevel"/>
    <w:tmpl w:val="246A6772"/>
    <w:lvl w:ilvl="0" w:tplc="BD8638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725970"/>
    <w:multiLevelType w:val="hybridMultilevel"/>
    <w:tmpl w:val="CAA4B516"/>
    <w:lvl w:ilvl="0" w:tplc="BD8638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938"/>
    <w:rsid w:val="0004124C"/>
    <w:rsid w:val="00943938"/>
    <w:rsid w:val="009B277D"/>
    <w:rsid w:val="009B4B3A"/>
    <w:rsid w:val="00C1713F"/>
    <w:rsid w:val="00C50CEB"/>
    <w:rsid w:val="00D32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D85007"/>
  <w15:chartTrackingRefBased/>
  <w15:docId w15:val="{98B1D084-C2F8-4013-BA4E-6BEEC2D1F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39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Нумерованый список,List Paragraph1,AC List 01,Абзац списка1,Ненумерованный список,Маркер,Слабое выделение1,ПАРАГРАФ,head 5,Светлая сетка - Акцент 31,Нумерованный спиков,Абзац списка2,Абзац списка с дефисом,Абзац с дефисом,ПЗ"/>
    <w:basedOn w:val="a"/>
    <w:link w:val="a4"/>
    <w:uiPriority w:val="34"/>
    <w:qFormat/>
    <w:rsid w:val="0004124C"/>
    <w:pPr>
      <w:spacing w:after="200" w:line="276" w:lineRule="auto"/>
      <w:ind w:left="720"/>
      <w:contextualSpacing/>
    </w:pPr>
    <w:rPr>
      <w:rFonts w:asciiTheme="majorHAnsi" w:eastAsiaTheme="majorEastAsia" w:hAnsiTheme="majorHAnsi" w:cstheme="majorBidi"/>
    </w:rPr>
  </w:style>
  <w:style w:type="character" w:styleId="a5">
    <w:name w:val="annotation reference"/>
    <w:basedOn w:val="a0"/>
    <w:uiPriority w:val="99"/>
    <w:semiHidden/>
    <w:unhideWhenUsed/>
    <w:rsid w:val="00D32A5F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D32A5F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D32A5F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D32A5F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D32A5F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D32A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D32A5F"/>
    <w:rPr>
      <w:rFonts w:ascii="Segoe UI" w:hAnsi="Segoe UI" w:cs="Segoe UI"/>
      <w:sz w:val="18"/>
      <w:szCs w:val="18"/>
    </w:rPr>
  </w:style>
  <w:style w:type="character" w:customStyle="1" w:styleId="a4">
    <w:name w:val="Абзац списка Знак"/>
    <w:aliases w:val="Нумерованый список Знак,List Paragraph1 Знак,AC List 01 Знак,Абзац списка1 Знак,Ненумерованный список Знак,Маркер Знак,Слабое выделение1 Знак,ПАРАГРАФ Знак,head 5 Знак,Светлая сетка - Акцент 31 Знак,Нумерованный спиков Знак,ПЗ Знак"/>
    <w:link w:val="a3"/>
    <w:uiPriority w:val="34"/>
    <w:qFormat/>
    <w:locked/>
    <w:rsid w:val="00C1713F"/>
    <w:rPr>
      <w:rFonts w:asciiTheme="majorHAnsi" w:eastAsiaTheme="majorEastAsia" w:hAnsiTheme="majorHAnsi" w:cstheme="maj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605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1385</Words>
  <Characters>7896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Маркунина Елизавета Анатольевна</dc:creator>
  <cp:keywords/>
  <dc:description/>
  <cp:lastModifiedBy>Елизавета Маркунина</cp:lastModifiedBy>
  <cp:revision>2</cp:revision>
  <dcterms:created xsi:type="dcterms:W3CDTF">2026-05-19T11:55:00Z</dcterms:created>
  <dcterms:modified xsi:type="dcterms:W3CDTF">2026-05-19T11:55:00Z</dcterms:modified>
</cp:coreProperties>
</file>